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0D" w:rsidRPr="00370776" w:rsidRDefault="00C5267F" w:rsidP="00370776">
      <w:pPr>
        <w:spacing w:before="240" w:after="240" w:line="276" w:lineRule="auto"/>
        <w:jc w:val="both"/>
        <w:rPr>
          <w:b/>
          <w:sz w:val="28"/>
          <w:u w:val="single"/>
        </w:rPr>
      </w:pPr>
      <w:bookmarkStart w:id="0" w:name="_Hlk520707709"/>
      <w:r w:rsidRPr="00370776">
        <w:rPr>
          <w:b/>
          <w:sz w:val="28"/>
          <w:u w:val="single"/>
        </w:rPr>
        <w:t>VVP-advies betreffende het voorontwerp van besluit van de Vlaamse Regering inzake de wijziging van het Energiebesluit van 19 november 201</w:t>
      </w:r>
      <w:r w:rsidR="002F039C" w:rsidRPr="00370776">
        <w:rPr>
          <w:b/>
          <w:sz w:val="28"/>
          <w:u w:val="single"/>
        </w:rPr>
        <w:t>0</w:t>
      </w:r>
      <w:r w:rsidRPr="00370776">
        <w:rPr>
          <w:b/>
          <w:sz w:val="28"/>
          <w:u w:val="single"/>
        </w:rPr>
        <w:t>, wat betreft de energiehuizen.</w:t>
      </w:r>
    </w:p>
    <w:bookmarkEnd w:id="0"/>
    <w:p w:rsidR="002F039C" w:rsidRPr="00AD1226" w:rsidRDefault="002F039C" w:rsidP="007C380D">
      <w:pPr>
        <w:pStyle w:val="Lijstalinea"/>
        <w:numPr>
          <w:ilvl w:val="0"/>
          <w:numId w:val="1"/>
        </w:numPr>
        <w:spacing w:before="240"/>
        <w:jc w:val="both"/>
        <w:rPr>
          <w:b/>
          <w:sz w:val="24"/>
          <w:u w:val="single"/>
        </w:rPr>
      </w:pPr>
      <w:r w:rsidRPr="00AD1226">
        <w:rPr>
          <w:b/>
          <w:sz w:val="24"/>
          <w:u w:val="single"/>
        </w:rPr>
        <w:t>Situering</w:t>
      </w:r>
    </w:p>
    <w:p w:rsidR="002F039C" w:rsidRPr="002F039C" w:rsidRDefault="002F039C" w:rsidP="002F039C">
      <w:pPr>
        <w:pStyle w:val="Lijstalinea"/>
        <w:jc w:val="both"/>
        <w:rPr>
          <w:u w:val="single"/>
        </w:rPr>
      </w:pPr>
    </w:p>
    <w:p w:rsidR="00B67527" w:rsidRDefault="002F039C" w:rsidP="002F039C">
      <w:pPr>
        <w:jc w:val="both"/>
      </w:pPr>
      <w:r w:rsidRPr="002E13C7">
        <w:t xml:space="preserve">Op 4 juli 2018 werd de VVP in kennis gesteld van de adviesvraag betreffende </w:t>
      </w:r>
      <w:r w:rsidR="00A731F2" w:rsidRPr="00A731F2">
        <w:rPr>
          <w:b/>
        </w:rPr>
        <w:t>“</w:t>
      </w:r>
      <w:r w:rsidRPr="00A731F2">
        <w:rPr>
          <w:b/>
        </w:rPr>
        <w:t xml:space="preserve">het </w:t>
      </w:r>
      <w:r w:rsidRPr="002E13C7">
        <w:rPr>
          <w:b/>
        </w:rPr>
        <w:t xml:space="preserve">voorontwerp van besluit van de Vlaamse Regering tot wijziging van het </w:t>
      </w:r>
      <w:r w:rsidR="002E13C7">
        <w:rPr>
          <w:b/>
        </w:rPr>
        <w:t>E</w:t>
      </w:r>
      <w:r w:rsidRPr="002E13C7">
        <w:rPr>
          <w:b/>
        </w:rPr>
        <w:t>nergiebesluit van 19 november 2010</w:t>
      </w:r>
      <w:r w:rsidR="002E13C7" w:rsidRPr="002E13C7">
        <w:rPr>
          <w:b/>
        </w:rPr>
        <w:t>,</w:t>
      </w:r>
      <w:r w:rsidRPr="002E13C7">
        <w:rPr>
          <w:b/>
        </w:rPr>
        <w:t xml:space="preserve"> wat betreft de energiehuizen</w:t>
      </w:r>
      <w:r w:rsidR="00A731F2">
        <w:rPr>
          <w:b/>
        </w:rPr>
        <w:t>”</w:t>
      </w:r>
      <w:r w:rsidR="002E13C7" w:rsidRPr="002E13C7">
        <w:rPr>
          <w:b/>
        </w:rPr>
        <w:t>.</w:t>
      </w:r>
      <w:r w:rsidR="002E13C7" w:rsidRPr="002E13C7">
        <w:t xml:space="preserve"> </w:t>
      </w:r>
      <w:r w:rsidR="00B67527">
        <w:t xml:space="preserve"> </w:t>
      </w:r>
      <w:r>
        <w:t xml:space="preserve">De VVP verleende eind augustus 2017 </w:t>
      </w:r>
      <w:r w:rsidR="002E13C7">
        <w:t xml:space="preserve">reeds </w:t>
      </w:r>
      <w:r>
        <w:t>advies</w:t>
      </w:r>
      <w:r w:rsidR="002E13C7">
        <w:t xml:space="preserve"> bij</w:t>
      </w:r>
      <w:r w:rsidRPr="003F0C32">
        <w:t xml:space="preserve"> </w:t>
      </w:r>
      <w:r w:rsidR="00A731F2">
        <w:t>“</w:t>
      </w:r>
      <w:r w:rsidRPr="00A731F2">
        <w:rPr>
          <w:b/>
        </w:rPr>
        <w:t>het</w:t>
      </w:r>
      <w:r w:rsidRPr="003F0C32">
        <w:t xml:space="preserve"> </w:t>
      </w:r>
      <w:r w:rsidR="002E13C7" w:rsidRPr="002E13C7">
        <w:rPr>
          <w:b/>
        </w:rPr>
        <w:t>b</w:t>
      </w:r>
      <w:r w:rsidRPr="002E13C7">
        <w:rPr>
          <w:b/>
        </w:rPr>
        <w:t>esluit van de Vlaamse Regering tot wijziging van het Energiebesluit van 19 november 2010</w:t>
      </w:r>
      <w:r w:rsidR="002E13C7" w:rsidRPr="002E13C7">
        <w:rPr>
          <w:b/>
        </w:rPr>
        <w:t>,</w:t>
      </w:r>
      <w:r w:rsidRPr="002E13C7">
        <w:rPr>
          <w:b/>
        </w:rPr>
        <w:t xml:space="preserve"> wat betreft de energiehuizen en de energieleningen</w:t>
      </w:r>
      <w:r w:rsidR="00A731F2">
        <w:rPr>
          <w:b/>
        </w:rPr>
        <w:t>”</w:t>
      </w:r>
      <w:r>
        <w:t>. Op dat moment was er ook sprake van een wijziging van de taakstelling van de energiehuizen.</w:t>
      </w:r>
      <w:r w:rsidR="00BB154D">
        <w:t xml:space="preserve"> </w:t>
      </w:r>
      <w:r>
        <w:t>Enkele politieke en ambtelijke overlegmomenten hebben</w:t>
      </w:r>
      <w:r w:rsidR="002E13C7">
        <w:t xml:space="preserve"> in de periode</w:t>
      </w:r>
      <w:r>
        <w:t xml:space="preserve"> nadien plaatsgevonden.</w:t>
      </w:r>
      <w:r w:rsidR="00B67527">
        <w:t xml:space="preserve"> </w:t>
      </w:r>
    </w:p>
    <w:p w:rsidR="007C380D" w:rsidRDefault="002E13C7" w:rsidP="00560507">
      <w:pPr>
        <w:spacing w:line="276" w:lineRule="auto"/>
        <w:jc w:val="both"/>
      </w:pPr>
      <w:r>
        <w:t xml:space="preserve">Het laatste ambtelijke overleg in aanwezigheid van de VVP </w:t>
      </w:r>
      <w:r w:rsidR="00370776">
        <w:t xml:space="preserve">op Vlaams niveau </w:t>
      </w:r>
      <w:r>
        <w:t xml:space="preserve">met betrekking tot </w:t>
      </w:r>
      <w:r w:rsidR="00BB154D">
        <w:t xml:space="preserve">de wijziging van de taakstelling van de energiehuizen dateert van april 2017. De VVP bezorgde op dit overleg een ambtelijke nota </w:t>
      </w:r>
      <w:r w:rsidR="007C380D">
        <w:t xml:space="preserve">aan het VEA </w:t>
      </w:r>
      <w:r w:rsidR="00BB154D">
        <w:t xml:space="preserve">waarbij de taakstelling en sterktes van de provinciale werking en meer specifiek de provinciale steunpunten duurzaam bouwen werden uitgelicht. </w:t>
      </w:r>
    </w:p>
    <w:p w:rsidR="00B67527" w:rsidRDefault="00A731F2" w:rsidP="00560507">
      <w:pPr>
        <w:spacing w:line="276" w:lineRule="auto"/>
        <w:jc w:val="both"/>
      </w:pPr>
      <w:r>
        <w:t xml:space="preserve">De VVP betreurt het dat er geen grondiger overleg heeft plaatsgevonden met alle actoren ter voorbereiding op dit ontwerp van besluit. </w:t>
      </w:r>
      <w:r w:rsidR="00BB154D">
        <w:t>De VVP stelt het</w:t>
      </w:r>
      <w:r>
        <w:t xml:space="preserve"> echter wel </w:t>
      </w:r>
      <w:r w:rsidR="00BB154D">
        <w:t xml:space="preserve">op prijs dat wij voor dit voorontwerp van besluit </w:t>
      </w:r>
      <w:r>
        <w:t xml:space="preserve">alsnog </w:t>
      </w:r>
      <w:r w:rsidR="00BB154D">
        <w:t xml:space="preserve">om advies worden gevraagd. De VVP hoopt dan ook dat de Vlaamse Regering opvolging zal geven aan het advies bij de verdere uitwerking van het besluit. </w:t>
      </w:r>
    </w:p>
    <w:p w:rsidR="007C380D" w:rsidRDefault="00BB154D" w:rsidP="007C380D">
      <w:pPr>
        <w:pStyle w:val="Lijstalinea"/>
        <w:numPr>
          <w:ilvl w:val="0"/>
          <w:numId w:val="1"/>
        </w:numPr>
        <w:spacing w:before="240"/>
        <w:jc w:val="both"/>
        <w:rPr>
          <w:b/>
          <w:u w:val="single"/>
        </w:rPr>
      </w:pPr>
      <w:r w:rsidRPr="00AD1226">
        <w:rPr>
          <w:b/>
          <w:sz w:val="24"/>
          <w:u w:val="single"/>
        </w:rPr>
        <w:t>Advisering</w:t>
      </w:r>
      <w:r w:rsidRPr="007C380D">
        <w:rPr>
          <w:b/>
          <w:u w:val="single"/>
        </w:rPr>
        <w:t xml:space="preserve"> </w:t>
      </w:r>
    </w:p>
    <w:p w:rsidR="007C380D" w:rsidRDefault="007255B4" w:rsidP="007C380D">
      <w:pPr>
        <w:spacing w:before="240"/>
        <w:jc w:val="both"/>
        <w:rPr>
          <w:b/>
          <w:u w:val="single"/>
        </w:rPr>
      </w:pPr>
      <w:r>
        <w:t xml:space="preserve">Na het lezen van het voorontwerp van besluit en de bijhorende nota aan de Vlaamse Regering </w:t>
      </w:r>
      <w:r w:rsidR="000D1CF1">
        <w:t>wenst de VVP haar visie te geven over de nieuwe taakstelling van de energiehuizen</w:t>
      </w:r>
      <w:r w:rsidR="007C380D">
        <w:t xml:space="preserve">, zoals opgenomen in artikel 8 en 12 van het ontwerp van besluit. </w:t>
      </w:r>
    </w:p>
    <w:p w:rsidR="00A731F2" w:rsidRPr="007C380D" w:rsidRDefault="00037146" w:rsidP="007C380D">
      <w:pPr>
        <w:spacing w:before="240"/>
        <w:jc w:val="both"/>
        <w:rPr>
          <w:b/>
          <w:u w:val="single"/>
        </w:rPr>
      </w:pPr>
      <w:r w:rsidRPr="00A731F2">
        <w:t xml:space="preserve">De bovenlokale coördinerende rol </w:t>
      </w:r>
      <w:r w:rsidR="00560507">
        <w:t xml:space="preserve">(in artikel 8 en 12 van het ontwerpbesluit ) </w:t>
      </w:r>
      <w:r w:rsidRPr="00A731F2">
        <w:t>die van de energiehuizen wordt verwacht staat in directe concurrentie met de taakstelling en de activiteiten van de provinciebesturen</w:t>
      </w:r>
      <w:r w:rsidR="00803D68" w:rsidRPr="00A731F2">
        <w:t xml:space="preserve">. </w:t>
      </w:r>
      <w:r w:rsidRPr="00A731F2">
        <w:t xml:space="preserve">Het provinciale woonbeleid (coördinatie en ondersteuning) en het provinciale klimaat- en energiebeleid  (woningrenovatie, samenaankoop, …) zijn </w:t>
      </w:r>
      <w:r w:rsidR="00A731F2">
        <w:t xml:space="preserve">immers </w:t>
      </w:r>
      <w:r w:rsidRPr="00A731F2">
        <w:t xml:space="preserve">twee belangrijke  grondgebonden bevoegdheden van het provinciaal beleidsniveau.  </w:t>
      </w:r>
      <w:r w:rsidR="005C4981" w:rsidRPr="00DB3E62">
        <w:t>De</w:t>
      </w:r>
      <w:r w:rsidR="005C4981">
        <w:t xml:space="preserve"> provinciebesturen, via onder andere de provinciale steunpunten duurzaam </w:t>
      </w:r>
      <w:r w:rsidR="00EF544A">
        <w:t xml:space="preserve">wonen en </w:t>
      </w:r>
      <w:r w:rsidR="005C4981">
        <w:t>bouwen,  voeren nu reeds in grote mate alle taken</w:t>
      </w:r>
      <w:r w:rsidR="00560507">
        <w:t xml:space="preserve"> (zie bijlage)</w:t>
      </w:r>
      <w:r w:rsidR="005C4981">
        <w:t xml:space="preserve"> uit die werden opgenomen in het ontwerp van besluit. Zowel uit </w:t>
      </w:r>
      <w:r w:rsidR="00AD1226">
        <w:t xml:space="preserve">het </w:t>
      </w:r>
      <w:r w:rsidR="005C4981">
        <w:t>basis</w:t>
      </w:r>
      <w:r w:rsidR="00D26069">
        <w:t>-</w:t>
      </w:r>
      <w:r w:rsidR="005C4981">
        <w:t xml:space="preserve">, </w:t>
      </w:r>
      <w:r w:rsidR="00AD1226">
        <w:t xml:space="preserve">het </w:t>
      </w:r>
      <w:r w:rsidR="005C4981">
        <w:t>aanvullend als het vernieuwend pakket.</w:t>
      </w:r>
      <w:r w:rsidR="0056059D">
        <w:t xml:space="preserve"> </w:t>
      </w:r>
      <w:r w:rsidR="005C4981">
        <w:t>De provinciebesturen</w:t>
      </w:r>
      <w:r w:rsidR="00CC186D">
        <w:t xml:space="preserve"> en de provinciale steunpunten duurzaam </w:t>
      </w:r>
      <w:r w:rsidR="00EF544A">
        <w:t xml:space="preserve">wonen en </w:t>
      </w:r>
      <w:r w:rsidR="00CC186D">
        <w:t>bouwen</w:t>
      </w:r>
      <w:r w:rsidR="005C4981">
        <w:t xml:space="preserve"> </w:t>
      </w:r>
      <w:r w:rsidR="00803D68">
        <w:t>werken hiervoor</w:t>
      </w:r>
      <w:r w:rsidR="00D26069">
        <w:t xml:space="preserve"> nu reeds </w:t>
      </w:r>
      <w:r w:rsidR="00803D68">
        <w:t>nauw samen met de lokale besturen</w:t>
      </w:r>
      <w:r w:rsidR="00CE46DE">
        <w:t xml:space="preserve"> en </w:t>
      </w:r>
      <w:r w:rsidR="0056059D">
        <w:t xml:space="preserve">Vlaamse overheid. </w:t>
      </w:r>
      <w:r w:rsidR="00803D68">
        <w:t xml:space="preserve"> </w:t>
      </w:r>
    </w:p>
    <w:p w:rsidR="0056059D" w:rsidRDefault="0056059D" w:rsidP="00CC186D">
      <w:pPr>
        <w:spacing w:after="240" w:line="276" w:lineRule="auto"/>
        <w:jc w:val="both"/>
      </w:pPr>
    </w:p>
    <w:p w:rsidR="0056059D" w:rsidRDefault="0056059D" w:rsidP="00CC186D">
      <w:pPr>
        <w:spacing w:after="240" w:line="276" w:lineRule="auto"/>
        <w:jc w:val="both"/>
      </w:pPr>
    </w:p>
    <w:p w:rsidR="00CC186D" w:rsidRDefault="00AD1226" w:rsidP="00CC186D">
      <w:pPr>
        <w:spacing w:after="240" w:line="276" w:lineRule="auto"/>
        <w:jc w:val="both"/>
      </w:pPr>
      <w:r>
        <w:lastRenderedPageBreak/>
        <w:t>Tevens zijn de</w:t>
      </w:r>
      <w:r w:rsidR="00A731F2">
        <w:t xml:space="preserve"> </w:t>
      </w:r>
      <w:r>
        <w:t>vooropgestelde</w:t>
      </w:r>
      <w:r w:rsidR="00A731F2">
        <w:t xml:space="preserve"> taken in het besluit </w:t>
      </w:r>
      <w:r w:rsidR="00CC186D">
        <w:t xml:space="preserve">grotendeels </w:t>
      </w:r>
      <w:r w:rsidR="00A731F2">
        <w:t xml:space="preserve">nieuw </w:t>
      </w:r>
      <w:r w:rsidR="0069054C" w:rsidRPr="00037146">
        <w:t>voor de energiehuizen</w:t>
      </w:r>
      <w:r w:rsidR="00A731F2">
        <w:t xml:space="preserve">. De VVP </w:t>
      </w:r>
      <w:r>
        <w:t xml:space="preserve">acht het </w:t>
      </w:r>
      <w:r w:rsidR="00A731F2">
        <w:t xml:space="preserve">dan ook </w:t>
      </w:r>
      <w:r>
        <w:t xml:space="preserve">niet wenselijk om </w:t>
      </w:r>
      <w:r w:rsidR="00CC186D">
        <w:t xml:space="preserve">hen </w:t>
      </w:r>
      <w:r>
        <w:t xml:space="preserve">deze taken toe te </w:t>
      </w:r>
      <w:r w:rsidR="003A2702">
        <w:t xml:space="preserve">kennen. </w:t>
      </w:r>
      <w:r w:rsidR="00370776" w:rsidRPr="00803D68">
        <w:t xml:space="preserve">Het is erg onduidelijk of zij dit </w:t>
      </w:r>
      <w:r w:rsidR="00370776">
        <w:t xml:space="preserve">uitgebreide </w:t>
      </w:r>
      <w:r w:rsidR="00370776" w:rsidRPr="00803D68">
        <w:t>aanbod kunnen ontwikkelen</w:t>
      </w:r>
      <w:r w:rsidR="00370776">
        <w:t xml:space="preserve"> en welke problemen dit allemaal met zich mee zal brengen</w:t>
      </w:r>
      <w:r w:rsidR="00370776" w:rsidRPr="00803D68">
        <w:t xml:space="preserve">. </w:t>
      </w:r>
      <w:r w:rsidR="00A731F2">
        <w:t>De ve</w:t>
      </w:r>
      <w:r w:rsidR="00A45803">
        <w:t>r</w:t>
      </w:r>
      <w:r w:rsidR="00A731F2">
        <w:t>rommeling zal alleen maar</w:t>
      </w:r>
      <w:r w:rsidR="00370776">
        <w:t xml:space="preserve"> verder</w:t>
      </w:r>
      <w:r w:rsidR="00A731F2">
        <w:t xml:space="preserve"> toenemen</w:t>
      </w:r>
      <w:r w:rsidR="0056059D">
        <w:t xml:space="preserve">. </w:t>
      </w:r>
      <w:r w:rsidR="00CC186D" w:rsidRPr="00803D68">
        <w:t>De energiehuizen zijn</w:t>
      </w:r>
      <w:r w:rsidR="00CC186D">
        <w:t xml:space="preserve"> </w:t>
      </w:r>
      <w:r w:rsidR="0056059D">
        <w:t xml:space="preserve">bovendien </w:t>
      </w:r>
      <w:r w:rsidR="00CC186D" w:rsidRPr="00803D68">
        <w:t xml:space="preserve">uiteenlopend van grootte en van organisatievorm. </w:t>
      </w:r>
      <w:r w:rsidR="0056059D" w:rsidRPr="00803D68">
        <w:t xml:space="preserve">Er mag </w:t>
      </w:r>
      <w:r w:rsidR="00370776">
        <w:t xml:space="preserve">tevens </w:t>
      </w:r>
      <w:r w:rsidR="0056059D" w:rsidRPr="00803D68">
        <w:t>verwacht worden dat</w:t>
      </w:r>
      <w:r w:rsidR="0056059D">
        <w:t xml:space="preserve"> </w:t>
      </w:r>
      <w:r w:rsidR="0056059D" w:rsidRPr="00803D68">
        <w:t>door het dalend aantal leningdossier</w:t>
      </w:r>
      <w:r w:rsidR="0056059D">
        <w:t xml:space="preserve">s </w:t>
      </w:r>
      <w:r w:rsidR="0056059D" w:rsidRPr="00803D68">
        <w:t xml:space="preserve">de kleine energiehuizen zullen stoppen. </w:t>
      </w:r>
    </w:p>
    <w:p w:rsidR="0069054C" w:rsidRDefault="0056059D" w:rsidP="0069054C">
      <w:pPr>
        <w:spacing w:after="240" w:line="276" w:lineRule="auto"/>
        <w:jc w:val="both"/>
      </w:pPr>
      <w:r>
        <w:t>Bovendien kennen d</w:t>
      </w:r>
      <w:r w:rsidR="00A731F2">
        <w:t xml:space="preserve">e provinciebesturen en meer specifiek de steunpunten duurzaam </w:t>
      </w:r>
      <w:r w:rsidR="00CE46DE">
        <w:t xml:space="preserve">wonen en </w:t>
      </w:r>
      <w:r w:rsidR="00A731F2">
        <w:t>bouwen de lokale actoren, zoals de bouwsector</w:t>
      </w:r>
      <w:r w:rsidR="00AD1226">
        <w:t xml:space="preserve"> door en door.</w:t>
      </w:r>
      <w:r w:rsidR="00CC186D">
        <w:t xml:space="preserve"> </w:t>
      </w:r>
      <w:r w:rsidR="00A731F2">
        <w:t>Door de jaren heen bouwden zij</w:t>
      </w:r>
      <w:r w:rsidR="00370776">
        <w:t xml:space="preserve"> met</w:t>
      </w:r>
      <w:r w:rsidR="00A731F2">
        <w:t xml:space="preserve"> </w:t>
      </w:r>
      <w:r w:rsidR="00370776">
        <w:t>h</w:t>
      </w:r>
      <w:r w:rsidR="00700F5E">
        <w:t>en</w:t>
      </w:r>
      <w:r w:rsidR="00370776">
        <w:t xml:space="preserve"> </w:t>
      </w:r>
      <w:r w:rsidR="00A731F2">
        <w:t xml:space="preserve">een vertrouwensrelatie op. </w:t>
      </w:r>
      <w:r w:rsidR="0069054C" w:rsidRPr="00037146">
        <w:t xml:space="preserve">Het is maar de vraag of de energiehuizen die in gespreide slagorde </w:t>
      </w:r>
      <w:r w:rsidR="0069054C" w:rsidRPr="0056059D">
        <w:t xml:space="preserve">opereren </w:t>
      </w:r>
      <w:r w:rsidR="00A731F2" w:rsidRPr="0056059D">
        <w:t>“</w:t>
      </w:r>
      <w:r w:rsidR="0069054C" w:rsidRPr="0056059D">
        <w:t>niet als een hond in het kegelspel</w:t>
      </w:r>
      <w:r w:rsidR="00A731F2" w:rsidRPr="0056059D">
        <w:t>”</w:t>
      </w:r>
      <w:r w:rsidR="0069054C" w:rsidRPr="00037146">
        <w:t xml:space="preserve"> zullen beschouwd worden door de bouwsector</w:t>
      </w:r>
      <w:r w:rsidR="00CC186D">
        <w:t xml:space="preserve"> en andere actoren</w:t>
      </w:r>
      <w:r w:rsidR="0069054C" w:rsidRPr="00037146">
        <w:t>.</w:t>
      </w:r>
    </w:p>
    <w:p w:rsidR="00E82A7A" w:rsidRDefault="00E82A7A" w:rsidP="00803D68">
      <w:pPr>
        <w:spacing w:after="240" w:line="276" w:lineRule="auto"/>
        <w:jc w:val="both"/>
      </w:pPr>
      <w:r w:rsidRPr="00DB3E62">
        <w:t>De</w:t>
      </w:r>
      <w:r>
        <w:t xml:space="preserve"> nieuwe taakstelling van de energiehuizen overlapt niet enkel met de provinciale werking, maar ook </w:t>
      </w:r>
      <w:r w:rsidRPr="00DB3E62">
        <w:t xml:space="preserve">met </w:t>
      </w:r>
      <w:r w:rsidR="004512B8">
        <w:t xml:space="preserve">de werking van </w:t>
      </w:r>
      <w:r w:rsidRPr="00DB3E62">
        <w:t xml:space="preserve">andere actoren die reeds  “aanvullende” of </w:t>
      </w:r>
      <w:r w:rsidR="00A731F2">
        <w:t xml:space="preserve">het </w:t>
      </w:r>
      <w:r w:rsidRPr="00DB3E62">
        <w:t>vernieuwende” activiteiten ontwikkelen</w:t>
      </w:r>
      <w:r w:rsidR="00700F5E">
        <w:t xml:space="preserve"> en uitvoeren</w:t>
      </w:r>
      <w:r w:rsidRPr="00DB3E62">
        <w:t xml:space="preserve">. Dat geldt </w:t>
      </w:r>
      <w:r>
        <w:t xml:space="preserve">bijvoorbeeld </w:t>
      </w:r>
      <w:r w:rsidRPr="00DB3E62">
        <w:t>voor alle initiatieven inzake wonen</w:t>
      </w:r>
      <w:r>
        <w:t xml:space="preserve"> (</w:t>
      </w:r>
      <w:r w:rsidRPr="00DB3E62">
        <w:t>gemeentelijke en intergemeentelijke woonloketten</w:t>
      </w:r>
      <w:r w:rsidR="003A2702">
        <w:t xml:space="preserve"> en wooninfopunten</w:t>
      </w:r>
      <w:r w:rsidR="004F53DF">
        <w:rPr>
          <w:rStyle w:val="Voetnootmarkering"/>
        </w:rPr>
        <w:footnoteReference w:id="1"/>
      </w:r>
      <w:r w:rsidRPr="00DB3E62">
        <w:t>, buurtwerkingen, …</w:t>
      </w:r>
      <w:r>
        <w:t xml:space="preserve">). </w:t>
      </w:r>
      <w:r w:rsidRPr="00DB3E62">
        <w:t>Bijkomend zou men zich de vraag kunnen stellen of men hier ook niet in concurrentie gaat met private ondernemers</w:t>
      </w:r>
      <w:r w:rsidR="008F2E94">
        <w:t xml:space="preserve">. </w:t>
      </w:r>
    </w:p>
    <w:p w:rsidR="004512B8" w:rsidRDefault="00E82A7A" w:rsidP="0069054C">
      <w:pPr>
        <w:spacing w:after="240" w:line="276" w:lineRule="auto"/>
        <w:jc w:val="both"/>
      </w:pPr>
      <w:r w:rsidRPr="00DB3E62">
        <w:t>De provinciale steunpunten</w:t>
      </w:r>
      <w:r w:rsidR="00D26069">
        <w:t xml:space="preserve"> duurzaam</w:t>
      </w:r>
      <w:r w:rsidR="00CE46DE">
        <w:t xml:space="preserve"> wonen en</w:t>
      </w:r>
      <w:r w:rsidR="00D26069">
        <w:t xml:space="preserve"> bouwen</w:t>
      </w:r>
      <w:r w:rsidRPr="00DB3E62">
        <w:t xml:space="preserve"> worden </w:t>
      </w:r>
      <w:r w:rsidR="00AD1226">
        <w:t xml:space="preserve">door </w:t>
      </w:r>
      <w:r w:rsidRPr="00DB3E62">
        <w:t>de Vlaamse overheid gesteund</w:t>
      </w:r>
      <w:r w:rsidR="0069054C">
        <w:t xml:space="preserve"> om </w:t>
      </w:r>
      <w:r w:rsidR="00AD1226">
        <w:t>hun werking uit te bouwen</w:t>
      </w:r>
      <w:r w:rsidR="00CC186D">
        <w:t xml:space="preserve"> en een coördinerende rol op zich te </w:t>
      </w:r>
      <w:r w:rsidR="003A2702">
        <w:t xml:space="preserve">nemen. </w:t>
      </w:r>
      <w:r w:rsidRPr="00DB3E62">
        <w:t xml:space="preserve">Het </w:t>
      </w:r>
      <w:r w:rsidR="0069054C">
        <w:t xml:space="preserve">“nieuwe” en tevens </w:t>
      </w:r>
      <w:r w:rsidR="00AD1226">
        <w:t>“</w:t>
      </w:r>
      <w:r w:rsidR="0069054C">
        <w:t>gesubsidieerde</w:t>
      </w:r>
      <w:r w:rsidR="00AD1226">
        <w:t>”</w:t>
      </w:r>
      <w:r w:rsidR="0069054C">
        <w:t xml:space="preserve"> </w:t>
      </w:r>
      <w:r w:rsidR="003A2702">
        <w:t xml:space="preserve">aanbod </w:t>
      </w:r>
      <w:r w:rsidRPr="00DB3E62">
        <w:t xml:space="preserve">van de energiehuizen kan dus zeker niet als </w:t>
      </w:r>
      <w:r w:rsidR="00AD1226">
        <w:t>“</w:t>
      </w:r>
      <w:r w:rsidRPr="00DB3E62">
        <w:t>uniek</w:t>
      </w:r>
      <w:r w:rsidR="00AD1226">
        <w:t>”</w:t>
      </w:r>
      <w:r w:rsidRPr="00DB3E62">
        <w:t xml:space="preserve"> worden beschouwd.</w:t>
      </w:r>
      <w:r>
        <w:t xml:space="preserve"> </w:t>
      </w:r>
      <w:r w:rsidR="004512B8">
        <w:t>Door deze nieuwe opdracht aan de energiehuizen te geven, lijkt het voor de VVP alsof men het bestaand aanbod en initiatieven van andere provinciebesturen en andere organisaties niet erkend</w:t>
      </w:r>
      <w:r w:rsidR="002827A8">
        <w:t xml:space="preserve"> en uitholt. </w:t>
      </w:r>
    </w:p>
    <w:p w:rsidR="00C66DB5" w:rsidRDefault="00C37DD6" w:rsidP="0069054C">
      <w:pPr>
        <w:spacing w:after="240" w:line="276" w:lineRule="auto"/>
        <w:jc w:val="both"/>
      </w:pPr>
      <w:r>
        <w:t xml:space="preserve">De VVP pleit voor een verregaande samenwerking en afstemming </w:t>
      </w:r>
      <w:r w:rsidR="0056059D">
        <w:t>op en met het provinciaal bestuursniveau.</w:t>
      </w:r>
      <w:r w:rsidR="002827A8">
        <w:t xml:space="preserve"> </w:t>
      </w:r>
      <w:r w:rsidR="0069054C" w:rsidRPr="0069054C">
        <w:t xml:space="preserve">Waar er reeds </w:t>
      </w:r>
      <w:r w:rsidR="00CC186D">
        <w:t xml:space="preserve">een intensieve </w:t>
      </w:r>
      <w:r w:rsidR="0069054C" w:rsidRPr="0069054C">
        <w:t>samenwerking bestaat</w:t>
      </w:r>
      <w:r w:rsidR="00CC186D">
        <w:t>,</w:t>
      </w:r>
      <w:r w:rsidR="0069054C" w:rsidRPr="0069054C">
        <w:t xml:space="preserve"> </w:t>
      </w:r>
      <w:r w:rsidR="00AD1226">
        <w:t>onder meer in de provincie</w:t>
      </w:r>
      <w:r w:rsidR="0069054C" w:rsidRPr="0069054C">
        <w:t xml:space="preserve"> Limburg</w:t>
      </w:r>
      <w:r w:rsidR="00CC186D">
        <w:t>,</w:t>
      </w:r>
      <w:r w:rsidR="0069054C" w:rsidRPr="0069054C">
        <w:t xml:space="preserve"> is men erg tevreden over de gezamenlijke werking. </w:t>
      </w:r>
      <w:r w:rsidR="00AD1226">
        <w:t>De VVP vraagt dan ook aan de Vlaamse Regering om</w:t>
      </w:r>
      <w:r w:rsidR="0069054C" w:rsidRPr="0069054C">
        <w:t xml:space="preserve"> de bestaande netwerken en samenwerkingsverbanden niet </w:t>
      </w:r>
      <w:r w:rsidR="00AD1226">
        <w:t xml:space="preserve">te </w:t>
      </w:r>
      <w:r w:rsidR="0069054C" w:rsidRPr="0069054C">
        <w:t xml:space="preserve">verstoren door nu de uitdrukkelijke opdracht te geven aan de energiehuizen om </w:t>
      </w:r>
      <w:r w:rsidR="00AD1226">
        <w:t>op een geforceerde manier</w:t>
      </w:r>
      <w:r w:rsidR="0069054C" w:rsidRPr="0069054C">
        <w:t xml:space="preserve"> </w:t>
      </w:r>
      <w:r w:rsidR="00AD1226">
        <w:t>de coördinatie</w:t>
      </w:r>
      <w:r w:rsidR="00D26069">
        <w:t xml:space="preserve"> met andere actoren</w:t>
      </w:r>
      <w:r w:rsidR="00AD1226">
        <w:t xml:space="preserve"> te gaan </w:t>
      </w:r>
      <w:r w:rsidR="003A2702">
        <w:t xml:space="preserve">organiseren. </w:t>
      </w:r>
    </w:p>
    <w:p w:rsidR="004F53DF" w:rsidRDefault="00C66DB5" w:rsidP="002827A8">
      <w:pPr>
        <w:widowControl w:val="0"/>
        <w:tabs>
          <w:tab w:val="left" w:pos="426"/>
        </w:tabs>
        <w:suppressAutoHyphens/>
        <w:spacing w:after="0" w:line="276" w:lineRule="auto"/>
        <w:jc w:val="both"/>
        <w:outlineLvl w:val="0"/>
      </w:pPr>
      <w:r w:rsidRPr="00C66DB5">
        <w:t xml:space="preserve">Met de toekenning van deze taakstelling </w:t>
      </w:r>
      <w:r w:rsidR="00560507">
        <w:t xml:space="preserve">in artikel 8 en 12 van het ontwerpbesluit </w:t>
      </w:r>
      <w:r w:rsidRPr="00C66DB5">
        <w:t xml:space="preserve">treden de energiehuizen </w:t>
      </w:r>
      <w:r w:rsidR="002827A8">
        <w:t xml:space="preserve">immers </w:t>
      </w:r>
      <w:r w:rsidR="0056059D">
        <w:t>zeer sterk</w:t>
      </w:r>
      <w:r w:rsidR="00AD1226">
        <w:t xml:space="preserve"> </w:t>
      </w:r>
      <w:r w:rsidRPr="00C66DB5">
        <w:t xml:space="preserve">op het terrein van de provinciebesturen en in het bijzonder de steunpunten duurzaam </w:t>
      </w:r>
      <w:r w:rsidR="00CE46DE">
        <w:t xml:space="preserve">wonen en </w:t>
      </w:r>
      <w:r w:rsidRPr="00C66DB5">
        <w:t>bouwen. De provinciebesturen vragen om hun rol te erkennen</w:t>
      </w:r>
      <w:r w:rsidR="00AD1226">
        <w:t xml:space="preserve"> zodoende dat zij deze grondgebonden bevoegdheden naar behoren kunnen uitvoeren. </w:t>
      </w:r>
      <w:r w:rsidR="002827A8">
        <w:t xml:space="preserve">De provinciebesturen willen immers hun volle verantwoordelijkheid nemen voor een sterk en uniform aanbod voor alle burgers inzake duurzaam bouwen en wonen. De klimaatuitdagingen zijn immers dermate groot dat er grote inspanningen nodig zijn om het huidige woningbestand versneld energiezuinig te maken. </w:t>
      </w:r>
    </w:p>
    <w:p w:rsidR="00FA2316" w:rsidRDefault="00C66DB5" w:rsidP="002827A8">
      <w:pPr>
        <w:widowControl w:val="0"/>
        <w:tabs>
          <w:tab w:val="left" w:pos="426"/>
        </w:tabs>
        <w:suppressAutoHyphens/>
        <w:spacing w:after="0" w:line="276" w:lineRule="auto"/>
        <w:jc w:val="both"/>
        <w:outlineLvl w:val="0"/>
      </w:pPr>
      <w:r w:rsidRPr="00C66DB5">
        <w:lastRenderedPageBreak/>
        <w:t xml:space="preserve">De provinciebesturen zien voor de energiehuizen </w:t>
      </w:r>
      <w:r w:rsidR="00984EC6">
        <w:t xml:space="preserve">een </w:t>
      </w:r>
      <w:r w:rsidRPr="00C66DB5">
        <w:t xml:space="preserve">meerwaarde </w:t>
      </w:r>
      <w:r w:rsidR="002827A8">
        <w:t xml:space="preserve">in </w:t>
      </w:r>
      <w:r w:rsidR="00984EC6">
        <w:t>wat betreft hun</w:t>
      </w:r>
      <w:r w:rsidR="002827A8">
        <w:t xml:space="preserve"> </w:t>
      </w:r>
      <w:r w:rsidR="003A2702">
        <w:t xml:space="preserve">huidige </w:t>
      </w:r>
      <w:r w:rsidR="00984EC6">
        <w:t xml:space="preserve">corebusiness, namelijk </w:t>
      </w:r>
      <w:r w:rsidRPr="00C66DB5">
        <w:t xml:space="preserve">het verstrekken van kredieten </w:t>
      </w:r>
      <w:r w:rsidR="00C37DD6">
        <w:t>en het begeleiden van de investeringen van</w:t>
      </w:r>
      <w:r w:rsidRPr="00C66DB5">
        <w:t xml:space="preserve"> een uitgebreide groep van </w:t>
      </w:r>
      <w:r w:rsidR="00984EC6">
        <w:t>(</w:t>
      </w:r>
      <w:r w:rsidRPr="00C66DB5">
        <w:t>kwetsbare</w:t>
      </w:r>
      <w:r w:rsidR="00984EC6">
        <w:t>)</w:t>
      </w:r>
      <w:r w:rsidRPr="00C66DB5">
        <w:t xml:space="preserve"> doelgroepen en het geven van financieel advies (kredieten, leningen voor specifieke doelgroepen, premies). </w:t>
      </w:r>
      <w:r w:rsidR="00700F5E">
        <w:t xml:space="preserve">De </w:t>
      </w:r>
      <w:r w:rsidR="003A2702">
        <w:t xml:space="preserve">energiehuizen </w:t>
      </w:r>
      <w:r w:rsidR="002827A8">
        <w:t>kunnen</w:t>
      </w:r>
      <w:r w:rsidR="00984EC6">
        <w:t xml:space="preserve"> in overleg met de andere actoren en onder coördinatie van </w:t>
      </w:r>
      <w:r w:rsidR="00700F5E">
        <w:t>het</w:t>
      </w:r>
      <w:r w:rsidR="00984EC6">
        <w:t xml:space="preserve"> provincie</w:t>
      </w:r>
      <w:r w:rsidR="00700F5E">
        <w:t>bestuur</w:t>
      </w:r>
      <w:r w:rsidR="00984EC6">
        <w:t xml:space="preserve"> een belangrijke bijdrage </w:t>
      </w:r>
      <w:r w:rsidR="00C37DD6">
        <w:t xml:space="preserve">leveren </w:t>
      </w:r>
      <w:r w:rsidR="00984EC6">
        <w:t>aan het tot stand komen van een gelijkvormig aanbod voor elke burger in alle Vlaamse gemeenten.</w:t>
      </w:r>
      <w:r w:rsidR="00700F5E">
        <w:t xml:space="preserve"> </w:t>
      </w:r>
      <w:r w:rsidR="007727A6">
        <w:t>De VVP hoopt dan ook dat er met haar opmerkingen en suggesties rekening wordt gehouden.</w:t>
      </w:r>
    </w:p>
    <w:p w:rsidR="002827A8" w:rsidRDefault="002827A8" w:rsidP="002827A8">
      <w:pPr>
        <w:widowControl w:val="0"/>
        <w:tabs>
          <w:tab w:val="left" w:pos="426"/>
        </w:tabs>
        <w:suppressAutoHyphens/>
        <w:spacing w:after="0" w:line="276" w:lineRule="auto"/>
        <w:jc w:val="both"/>
        <w:outlineLvl w:val="0"/>
      </w:pPr>
    </w:p>
    <w:p w:rsidR="00312027" w:rsidRPr="00AD1226" w:rsidRDefault="00C66DB5" w:rsidP="00AD1226">
      <w:pPr>
        <w:pStyle w:val="Lijstalinea"/>
        <w:numPr>
          <w:ilvl w:val="0"/>
          <w:numId w:val="1"/>
        </w:numPr>
        <w:spacing w:before="240"/>
        <w:jc w:val="both"/>
        <w:rPr>
          <w:b/>
          <w:sz w:val="24"/>
          <w:u w:val="single"/>
        </w:rPr>
      </w:pPr>
      <w:r w:rsidRPr="00AD1226">
        <w:rPr>
          <w:b/>
          <w:sz w:val="24"/>
          <w:u w:val="single"/>
        </w:rPr>
        <w:t xml:space="preserve">Bijlage </w:t>
      </w:r>
      <w:r w:rsidR="007727A6">
        <w:rPr>
          <w:b/>
          <w:sz w:val="24"/>
          <w:u w:val="single"/>
        </w:rPr>
        <w:t xml:space="preserve">– Steunpunten Duurzaam Wonen en Bouwen </w:t>
      </w:r>
    </w:p>
    <w:p w:rsidR="00312027" w:rsidRPr="00312027" w:rsidRDefault="00312027" w:rsidP="00312027">
      <w:pPr>
        <w:spacing w:after="0" w:line="240" w:lineRule="auto"/>
        <w:rPr>
          <w:rFonts w:ascii="Calibri" w:eastAsia="Calibri" w:hAnsi="Calibri" w:cs="Times New Roman"/>
          <w:sz w:val="18"/>
        </w:rPr>
      </w:pPr>
    </w:p>
    <w:p w:rsidR="00312027" w:rsidRPr="00312027" w:rsidRDefault="00312027" w:rsidP="00312027">
      <w:pPr>
        <w:keepNext/>
        <w:keepLines/>
        <w:numPr>
          <w:ilvl w:val="0"/>
          <w:numId w:val="7"/>
        </w:numPr>
        <w:spacing w:before="240" w:after="0" w:line="240" w:lineRule="auto"/>
        <w:jc w:val="both"/>
        <w:outlineLvl w:val="0"/>
        <w:rPr>
          <w:rFonts w:ascii="Calibri" w:eastAsia="Times New Roman" w:hAnsi="Calibri" w:cs="Times New Roman"/>
          <w:b/>
          <w:color w:val="000000"/>
          <w:szCs w:val="32"/>
          <w:u w:val="single"/>
        </w:rPr>
      </w:pPr>
      <w:r w:rsidRPr="00312027">
        <w:rPr>
          <w:rFonts w:ascii="Calibri" w:eastAsia="Times New Roman" w:hAnsi="Calibri" w:cs="Times New Roman"/>
          <w:b/>
          <w:color w:val="000000"/>
          <w:szCs w:val="32"/>
          <w:u w:val="single"/>
        </w:rPr>
        <w:t xml:space="preserve">Wie zijn de steunpunten duurzaam wonen en bouwen ? </w:t>
      </w:r>
    </w:p>
    <w:p w:rsidR="00312027" w:rsidRPr="00312027" w:rsidRDefault="00312027" w:rsidP="00312027">
      <w:pPr>
        <w:spacing w:before="40" w:after="40" w:line="276" w:lineRule="auto"/>
        <w:contextualSpacing/>
        <w:rPr>
          <w:rFonts w:ascii="Calibri" w:eastAsia="Calibri" w:hAnsi="Calibri" w:cs="Times New Roman"/>
          <w:b/>
          <w:bCs/>
          <w:sz w:val="20"/>
          <w:lang w:eastAsia="nl-BE"/>
        </w:rPr>
      </w:pPr>
    </w:p>
    <w:p w:rsidR="00312027" w:rsidRPr="00312027" w:rsidRDefault="00312027" w:rsidP="008B14F1">
      <w:pPr>
        <w:numPr>
          <w:ilvl w:val="0"/>
          <w:numId w:val="6"/>
        </w:numPr>
        <w:spacing w:before="40" w:after="40" w:line="276" w:lineRule="auto"/>
        <w:ind w:left="284" w:hanging="284"/>
        <w:contextualSpacing/>
        <w:rPr>
          <w:rFonts w:ascii="Calibri" w:eastAsia="Calibri" w:hAnsi="Calibri" w:cs="Times New Roman"/>
          <w:bCs/>
          <w:lang w:eastAsia="nl-BE"/>
        </w:rPr>
      </w:pPr>
      <w:r w:rsidRPr="00312027">
        <w:rPr>
          <w:rFonts w:ascii="Calibri" w:eastAsia="Calibri" w:hAnsi="Calibri" w:cs="Times New Roman"/>
          <w:bCs/>
          <w:lang w:eastAsia="nl-BE"/>
        </w:rPr>
        <w:t>Antwerpen: Kamp C (</w:t>
      </w:r>
      <w:r w:rsidR="00C3551B">
        <w:rPr>
          <w:rFonts w:ascii="Calibri" w:eastAsia="Calibri" w:hAnsi="Calibri" w:cs="Times New Roman"/>
          <w:bCs/>
          <w:lang w:eastAsia="nl-BE"/>
        </w:rPr>
        <w:t>A</w:t>
      </w:r>
      <w:r w:rsidR="00A3727D">
        <w:rPr>
          <w:rFonts w:ascii="Calibri" w:eastAsia="Calibri" w:hAnsi="Calibri" w:cs="Times New Roman"/>
          <w:bCs/>
          <w:lang w:eastAsia="nl-BE"/>
        </w:rPr>
        <w:t xml:space="preserve">utonoom </w:t>
      </w:r>
      <w:r w:rsidRPr="00312027">
        <w:rPr>
          <w:rFonts w:ascii="Calibri" w:eastAsia="Calibri" w:hAnsi="Calibri" w:cs="Times New Roman"/>
          <w:bCs/>
          <w:lang w:eastAsia="nl-BE"/>
        </w:rPr>
        <w:t>P</w:t>
      </w:r>
      <w:r w:rsidR="00A3727D">
        <w:rPr>
          <w:rFonts w:ascii="Calibri" w:eastAsia="Calibri" w:hAnsi="Calibri" w:cs="Times New Roman"/>
          <w:bCs/>
          <w:lang w:eastAsia="nl-BE"/>
        </w:rPr>
        <w:t>rovinciebedrijf</w:t>
      </w:r>
      <w:r w:rsidRPr="00312027">
        <w:rPr>
          <w:rFonts w:ascii="Calibri" w:eastAsia="Calibri" w:hAnsi="Calibri" w:cs="Times New Roman"/>
          <w:bCs/>
          <w:lang w:eastAsia="nl-BE"/>
        </w:rPr>
        <w:t>)</w:t>
      </w:r>
    </w:p>
    <w:p w:rsidR="00312027" w:rsidRPr="00312027" w:rsidRDefault="00312027" w:rsidP="008B14F1">
      <w:pPr>
        <w:numPr>
          <w:ilvl w:val="0"/>
          <w:numId w:val="6"/>
        </w:numPr>
        <w:spacing w:before="40" w:after="40" w:line="276" w:lineRule="auto"/>
        <w:ind w:left="284" w:hanging="284"/>
        <w:contextualSpacing/>
        <w:rPr>
          <w:rFonts w:ascii="Calibri" w:eastAsia="Calibri" w:hAnsi="Calibri" w:cs="Times New Roman"/>
          <w:bCs/>
          <w:lang w:eastAsia="nl-BE"/>
        </w:rPr>
      </w:pPr>
      <w:r w:rsidRPr="00312027">
        <w:rPr>
          <w:rFonts w:ascii="Calibri" w:eastAsia="Calibri" w:hAnsi="Calibri" w:cs="Times New Roman"/>
          <w:bCs/>
          <w:lang w:eastAsia="nl-BE"/>
        </w:rPr>
        <w:t>Limburg: Dubolimburg (vzw met steun van de provincie)</w:t>
      </w:r>
    </w:p>
    <w:p w:rsidR="00312027" w:rsidRPr="00312027" w:rsidRDefault="00312027" w:rsidP="008B14F1">
      <w:pPr>
        <w:numPr>
          <w:ilvl w:val="0"/>
          <w:numId w:val="6"/>
        </w:numPr>
        <w:spacing w:before="40" w:after="40" w:line="276" w:lineRule="auto"/>
        <w:ind w:left="284" w:hanging="284"/>
        <w:contextualSpacing/>
        <w:rPr>
          <w:rFonts w:ascii="Calibri" w:eastAsia="Calibri" w:hAnsi="Calibri" w:cs="Times New Roman"/>
          <w:bCs/>
          <w:lang w:eastAsia="nl-BE"/>
        </w:rPr>
      </w:pPr>
      <w:r w:rsidRPr="00312027">
        <w:rPr>
          <w:rFonts w:ascii="Calibri" w:eastAsia="Calibri" w:hAnsi="Calibri" w:cs="Times New Roman"/>
          <w:bCs/>
          <w:lang w:eastAsia="nl-BE"/>
        </w:rPr>
        <w:t>Oost-Vlaanderen: Provincie i</w:t>
      </w:r>
      <w:r w:rsidR="00B13060">
        <w:rPr>
          <w:rFonts w:ascii="Calibri" w:eastAsia="Calibri" w:hAnsi="Calibri" w:cs="Times New Roman"/>
          <w:bCs/>
          <w:lang w:eastAsia="nl-BE"/>
        </w:rPr>
        <w:t>n samenwerking met</w:t>
      </w:r>
      <w:r w:rsidRPr="00312027">
        <w:rPr>
          <w:rFonts w:ascii="Calibri" w:eastAsia="Calibri" w:hAnsi="Calibri" w:cs="Times New Roman"/>
          <w:bCs/>
          <w:lang w:eastAsia="nl-BE"/>
        </w:rPr>
        <w:t xml:space="preserve"> kennispartner MAW</w:t>
      </w:r>
    </w:p>
    <w:p w:rsidR="00312027" w:rsidRPr="00312027" w:rsidRDefault="00312027" w:rsidP="008B14F1">
      <w:pPr>
        <w:numPr>
          <w:ilvl w:val="0"/>
          <w:numId w:val="6"/>
        </w:numPr>
        <w:spacing w:before="40" w:after="40" w:line="276" w:lineRule="auto"/>
        <w:ind w:left="284" w:hanging="284"/>
        <w:contextualSpacing/>
        <w:rPr>
          <w:rFonts w:ascii="Calibri" w:eastAsia="Calibri" w:hAnsi="Calibri" w:cs="Times New Roman"/>
          <w:bCs/>
          <w:lang w:eastAsia="nl-BE"/>
        </w:rPr>
      </w:pPr>
      <w:r w:rsidRPr="00312027">
        <w:rPr>
          <w:rFonts w:ascii="Calibri" w:eastAsia="Calibri" w:hAnsi="Calibri" w:cs="Times New Roman"/>
          <w:bCs/>
          <w:lang w:eastAsia="nl-BE"/>
        </w:rPr>
        <w:t>Vlaams-Brabant: Provincie i</w:t>
      </w:r>
      <w:r w:rsidR="00B13060">
        <w:rPr>
          <w:rFonts w:ascii="Calibri" w:eastAsia="Calibri" w:hAnsi="Calibri" w:cs="Times New Roman"/>
          <w:bCs/>
          <w:lang w:eastAsia="nl-BE"/>
        </w:rPr>
        <w:t xml:space="preserve">n samenwerking met </w:t>
      </w:r>
      <w:r w:rsidRPr="00312027">
        <w:rPr>
          <w:rFonts w:ascii="Calibri" w:eastAsia="Calibri" w:hAnsi="Calibri" w:cs="Times New Roman"/>
          <w:bCs/>
          <w:lang w:eastAsia="nl-BE"/>
        </w:rPr>
        <w:t>kennispartner Dialoog</w:t>
      </w:r>
    </w:p>
    <w:p w:rsidR="00312027" w:rsidRPr="00312027" w:rsidRDefault="00312027" w:rsidP="008B14F1">
      <w:pPr>
        <w:numPr>
          <w:ilvl w:val="0"/>
          <w:numId w:val="6"/>
        </w:numPr>
        <w:spacing w:before="40" w:after="40" w:line="276" w:lineRule="auto"/>
        <w:ind w:left="284" w:hanging="284"/>
        <w:contextualSpacing/>
        <w:rPr>
          <w:rFonts w:ascii="Calibri" w:eastAsia="Calibri" w:hAnsi="Calibri" w:cs="Times New Roman"/>
          <w:bCs/>
          <w:lang w:eastAsia="nl-BE"/>
        </w:rPr>
      </w:pPr>
      <w:r w:rsidRPr="00312027">
        <w:rPr>
          <w:rFonts w:ascii="Calibri" w:eastAsia="Calibri" w:hAnsi="Calibri" w:cs="Times New Roman"/>
          <w:bCs/>
          <w:lang w:eastAsia="nl-BE"/>
        </w:rPr>
        <w:t xml:space="preserve">West-Vlaanderen: Provincie </w:t>
      </w:r>
      <w:r w:rsidR="00B13060">
        <w:rPr>
          <w:rFonts w:ascii="Calibri" w:eastAsia="Calibri" w:hAnsi="Calibri" w:cs="Times New Roman"/>
          <w:bCs/>
          <w:lang w:eastAsia="nl-BE"/>
        </w:rPr>
        <w:t xml:space="preserve">in samenwerking </w:t>
      </w:r>
      <w:r w:rsidR="004F53DF">
        <w:rPr>
          <w:rFonts w:ascii="Calibri" w:eastAsia="Calibri" w:hAnsi="Calibri" w:cs="Times New Roman"/>
          <w:bCs/>
          <w:lang w:eastAsia="nl-BE"/>
        </w:rPr>
        <w:t xml:space="preserve">met </w:t>
      </w:r>
      <w:r w:rsidRPr="00312027">
        <w:rPr>
          <w:rFonts w:ascii="Calibri" w:eastAsia="Calibri" w:hAnsi="Calibri" w:cs="Times New Roman"/>
          <w:bCs/>
          <w:lang w:eastAsia="nl-BE"/>
        </w:rPr>
        <w:t>kennispartner Basbouwen</w:t>
      </w:r>
    </w:p>
    <w:p w:rsidR="00312027" w:rsidRPr="00312027" w:rsidRDefault="00312027" w:rsidP="00312027">
      <w:pPr>
        <w:spacing w:before="40" w:after="40" w:line="276" w:lineRule="auto"/>
        <w:contextualSpacing/>
        <w:rPr>
          <w:rFonts w:ascii="Calibri" w:eastAsia="Calibri" w:hAnsi="Calibri" w:cs="Times New Roman"/>
          <w:bCs/>
          <w:lang w:eastAsia="nl-BE"/>
        </w:rPr>
      </w:pPr>
    </w:p>
    <w:p w:rsidR="00312027" w:rsidRPr="00312027" w:rsidRDefault="00312027" w:rsidP="00312027">
      <w:pPr>
        <w:spacing w:after="0" w:line="276" w:lineRule="auto"/>
        <w:jc w:val="both"/>
        <w:rPr>
          <w:rFonts w:ascii="Calibri" w:eastAsia="Calibri" w:hAnsi="Calibri" w:cs="Times New Roman"/>
        </w:rPr>
      </w:pPr>
      <w:r w:rsidRPr="00312027">
        <w:rPr>
          <w:rFonts w:ascii="Calibri" w:eastAsia="Calibri" w:hAnsi="Calibri" w:cs="Times New Roman"/>
        </w:rPr>
        <w:t xml:space="preserve">De provinciale steunpunten duurzaam wonen en bouwen zijn een gezamenlijk initiatief van </w:t>
      </w:r>
      <w:r w:rsidR="008B14F1" w:rsidRPr="00312027">
        <w:rPr>
          <w:rFonts w:ascii="Calibri" w:eastAsia="Calibri" w:hAnsi="Calibri" w:cs="Times New Roman"/>
        </w:rPr>
        <w:t xml:space="preserve">de 5 Vlaamse provincies </w:t>
      </w:r>
      <w:r w:rsidR="008B14F1">
        <w:rPr>
          <w:rFonts w:ascii="Calibri" w:eastAsia="Calibri" w:hAnsi="Calibri" w:cs="Times New Roman"/>
        </w:rPr>
        <w:t xml:space="preserve">en </w:t>
      </w:r>
      <w:r w:rsidRPr="00312027">
        <w:rPr>
          <w:rFonts w:ascii="Calibri" w:eastAsia="Calibri" w:hAnsi="Calibri" w:cs="Times New Roman"/>
        </w:rPr>
        <w:t>het Vlaams Gewest. De steunpunten worden deels gefinancierd door de Vlaamse overheid. De inhoudelijke taakstelling en de financiële ondersteuning van deze steunpunten is vastgelegd in een samenwerkingsovereenkomst tussen het Vlaams Gewest en de 5 provincie</w:t>
      </w:r>
      <w:r w:rsidR="00D92E16">
        <w:rPr>
          <w:rFonts w:ascii="Calibri" w:eastAsia="Calibri" w:hAnsi="Calibri" w:cs="Times New Roman"/>
        </w:rPr>
        <w:t>besturen</w:t>
      </w:r>
      <w:r w:rsidRPr="00312027">
        <w:rPr>
          <w:rFonts w:ascii="Calibri" w:eastAsia="Calibri" w:hAnsi="Calibri" w:cs="Times New Roman"/>
        </w:rPr>
        <w:t xml:space="preserve">. De huidige overeenkomst loopt tot 2019. </w:t>
      </w:r>
    </w:p>
    <w:p w:rsidR="00312027" w:rsidRPr="00312027" w:rsidRDefault="00312027" w:rsidP="00312027">
      <w:pPr>
        <w:keepNext/>
        <w:keepLines/>
        <w:numPr>
          <w:ilvl w:val="0"/>
          <w:numId w:val="7"/>
        </w:numPr>
        <w:spacing w:before="240" w:after="0" w:line="240" w:lineRule="auto"/>
        <w:jc w:val="both"/>
        <w:outlineLvl w:val="0"/>
        <w:rPr>
          <w:rFonts w:ascii="Calibri" w:eastAsia="Times New Roman" w:hAnsi="Calibri" w:cs="Times New Roman"/>
          <w:b/>
          <w:color w:val="000000"/>
          <w:sz w:val="24"/>
          <w:szCs w:val="32"/>
          <w:u w:val="single"/>
        </w:rPr>
      </w:pPr>
      <w:r w:rsidRPr="00312027">
        <w:rPr>
          <w:rFonts w:ascii="Calibri" w:eastAsia="Times New Roman" w:hAnsi="Calibri" w:cs="Times New Roman"/>
          <w:b/>
          <w:color w:val="000000"/>
          <w:sz w:val="24"/>
          <w:szCs w:val="32"/>
          <w:u w:val="single"/>
        </w:rPr>
        <w:t xml:space="preserve">Hoe werken de steunpunten duurzaam wonen en </w:t>
      </w:r>
      <w:r w:rsidR="004F53DF" w:rsidRPr="00312027">
        <w:rPr>
          <w:rFonts w:ascii="Calibri" w:eastAsia="Times New Roman" w:hAnsi="Calibri" w:cs="Times New Roman"/>
          <w:b/>
          <w:color w:val="000000"/>
          <w:sz w:val="24"/>
          <w:szCs w:val="32"/>
          <w:u w:val="single"/>
        </w:rPr>
        <w:t>bouwen?</w:t>
      </w:r>
      <w:r w:rsidRPr="00312027">
        <w:rPr>
          <w:rFonts w:ascii="Calibri" w:eastAsia="Times New Roman" w:hAnsi="Calibri" w:cs="Times New Roman"/>
          <w:b/>
          <w:color w:val="000000"/>
          <w:sz w:val="24"/>
          <w:szCs w:val="32"/>
          <w:u w:val="single"/>
        </w:rPr>
        <w:t xml:space="preserve"> </w:t>
      </w:r>
    </w:p>
    <w:p w:rsidR="00312027" w:rsidRPr="00312027" w:rsidRDefault="00312027" w:rsidP="00312027">
      <w:pPr>
        <w:spacing w:after="0" w:line="240" w:lineRule="auto"/>
        <w:rPr>
          <w:rFonts w:ascii="Calibri" w:eastAsia="Calibri" w:hAnsi="Calibri" w:cs="Times New Roman"/>
        </w:rPr>
      </w:pPr>
    </w:p>
    <w:p w:rsidR="00312027" w:rsidRPr="00312027" w:rsidRDefault="00312027" w:rsidP="00312027">
      <w:pPr>
        <w:spacing w:before="40" w:after="40" w:line="276" w:lineRule="auto"/>
        <w:contextualSpacing/>
        <w:jc w:val="both"/>
        <w:rPr>
          <w:rFonts w:ascii="Calibri" w:eastAsia="Calibri" w:hAnsi="Calibri" w:cs="Times New Roman"/>
          <w:bCs/>
          <w:lang w:eastAsia="nl-BE"/>
        </w:rPr>
      </w:pPr>
      <w:r w:rsidRPr="00312027">
        <w:rPr>
          <w:rFonts w:ascii="Calibri" w:eastAsia="Calibri" w:hAnsi="Calibri" w:cs="Times New Roman"/>
          <w:bCs/>
          <w:lang w:eastAsia="nl-BE"/>
        </w:rPr>
        <w:t>De 5 steunpunten werken gebiedsdekkend voor hun provincie en hebben een gelijklopend basisaanbod (zie verder). Er is 2-maandelijks een uitwisseling/overleg voorzien tussen de 5 steunpunten</w:t>
      </w:r>
      <w:r w:rsidR="001268B8">
        <w:rPr>
          <w:rFonts w:ascii="Calibri" w:eastAsia="Calibri" w:hAnsi="Calibri" w:cs="Times New Roman"/>
          <w:bCs/>
          <w:lang w:eastAsia="nl-BE"/>
        </w:rPr>
        <w:t xml:space="preserve"> in samenwerking met een </w:t>
      </w:r>
      <w:r w:rsidRPr="00312027">
        <w:rPr>
          <w:rFonts w:ascii="Calibri" w:eastAsia="Calibri" w:hAnsi="Calibri" w:cs="Times New Roman"/>
          <w:bCs/>
          <w:lang w:eastAsia="nl-BE"/>
        </w:rPr>
        <w:t>medewerker van het departement Kanselarij en Bestuur (Maarten van Leest)</w:t>
      </w:r>
      <w:r w:rsidR="001268B8">
        <w:rPr>
          <w:rFonts w:ascii="Calibri" w:eastAsia="Calibri" w:hAnsi="Calibri" w:cs="Times New Roman"/>
          <w:bCs/>
          <w:lang w:eastAsia="nl-BE"/>
        </w:rPr>
        <w:t>. De doelstelling van dit overleg is om tot een optimale afstemming te komen met diverse relevante actoren (Vlaamse diensten en andere relevante actoren)</w:t>
      </w:r>
      <w:r w:rsidR="006D43EB">
        <w:rPr>
          <w:rFonts w:ascii="Calibri" w:eastAsia="Calibri" w:hAnsi="Calibri" w:cs="Times New Roman"/>
          <w:bCs/>
          <w:lang w:eastAsia="nl-BE"/>
        </w:rPr>
        <w:t>.</w:t>
      </w:r>
    </w:p>
    <w:p w:rsidR="00312027" w:rsidRPr="00312027" w:rsidRDefault="00312027" w:rsidP="00312027">
      <w:pPr>
        <w:spacing w:before="40" w:after="40" w:line="276" w:lineRule="auto"/>
        <w:contextualSpacing/>
        <w:rPr>
          <w:rFonts w:ascii="Calibri" w:eastAsia="Calibri" w:hAnsi="Calibri" w:cs="Times New Roman"/>
          <w:color w:val="000000"/>
          <w:szCs w:val="20"/>
          <w:lang w:eastAsia="nl-BE"/>
        </w:rPr>
      </w:pPr>
    </w:p>
    <w:p w:rsidR="00C66336" w:rsidRDefault="00312027" w:rsidP="00C66336">
      <w:pPr>
        <w:spacing w:before="40" w:after="40" w:line="276" w:lineRule="auto"/>
        <w:contextualSpacing/>
        <w:jc w:val="both"/>
        <w:rPr>
          <w:rFonts w:ascii="Calibri" w:eastAsia="Calibri" w:hAnsi="Calibri" w:cs="Times New Roman"/>
          <w:color w:val="000000"/>
          <w:szCs w:val="20"/>
          <w:lang w:eastAsia="nl-BE"/>
        </w:rPr>
      </w:pPr>
      <w:r w:rsidRPr="00312027">
        <w:rPr>
          <w:rFonts w:ascii="Calibri" w:eastAsia="Calibri" w:hAnsi="Calibri" w:cs="Times New Roman"/>
          <w:color w:val="000000"/>
          <w:szCs w:val="20"/>
          <w:lang w:eastAsia="nl-BE"/>
        </w:rPr>
        <w:t xml:space="preserve">Via deze bovenbouw wordt gewaakt over een gemeenschappelijke visie en vindt onderlinge kennisuitwisseling en afstemming plaats. Ook wordt gezamenlijk gewerkt aan </w:t>
      </w:r>
      <w:r w:rsidR="00CE46DE">
        <w:rPr>
          <w:rFonts w:ascii="Calibri" w:eastAsia="Calibri" w:hAnsi="Calibri" w:cs="Times New Roman"/>
          <w:color w:val="000000"/>
          <w:szCs w:val="20"/>
          <w:lang w:eastAsia="nl-BE"/>
        </w:rPr>
        <w:t xml:space="preserve">uniforme producten </w:t>
      </w:r>
      <w:r w:rsidR="002C1E94">
        <w:rPr>
          <w:rFonts w:ascii="Calibri" w:eastAsia="Calibri" w:hAnsi="Calibri" w:cs="Times New Roman"/>
          <w:color w:val="000000"/>
          <w:szCs w:val="20"/>
          <w:lang w:eastAsia="nl-BE"/>
        </w:rPr>
        <w:t>(bv. technische fiches bij het renovatieadvies</w:t>
      </w:r>
      <w:r w:rsidR="001268B8">
        <w:rPr>
          <w:rFonts w:ascii="Calibri" w:eastAsia="Calibri" w:hAnsi="Calibri" w:cs="Times New Roman"/>
          <w:color w:val="000000"/>
          <w:szCs w:val="20"/>
          <w:lang w:eastAsia="nl-BE"/>
        </w:rPr>
        <w:t>,</w:t>
      </w:r>
      <w:r w:rsidR="00B13060">
        <w:rPr>
          <w:rFonts w:ascii="Calibri" w:eastAsia="Calibri" w:hAnsi="Calibri" w:cs="Times New Roman"/>
          <w:color w:val="000000"/>
          <w:szCs w:val="20"/>
          <w:lang w:eastAsia="nl-BE"/>
        </w:rPr>
        <w:t xml:space="preserve"> </w:t>
      </w:r>
      <w:r w:rsidR="001268B8">
        <w:rPr>
          <w:rFonts w:ascii="Calibri" w:eastAsia="Calibri" w:hAnsi="Calibri" w:cs="Times New Roman"/>
          <w:color w:val="000000"/>
          <w:szCs w:val="20"/>
          <w:lang w:eastAsia="nl-BE"/>
        </w:rPr>
        <w:t>adviesverslag grotere projecten</w:t>
      </w:r>
      <w:r w:rsidR="002C1E94">
        <w:rPr>
          <w:rFonts w:ascii="Calibri" w:eastAsia="Calibri" w:hAnsi="Calibri" w:cs="Times New Roman"/>
          <w:color w:val="000000"/>
          <w:szCs w:val="20"/>
          <w:lang w:eastAsia="nl-BE"/>
        </w:rPr>
        <w:t xml:space="preserve">) </w:t>
      </w:r>
      <w:r w:rsidR="00CE46DE">
        <w:rPr>
          <w:rFonts w:ascii="Calibri" w:eastAsia="Calibri" w:hAnsi="Calibri" w:cs="Times New Roman"/>
          <w:color w:val="000000"/>
          <w:szCs w:val="20"/>
          <w:lang w:eastAsia="nl-BE"/>
        </w:rPr>
        <w:t xml:space="preserve">en </w:t>
      </w:r>
      <w:r w:rsidRPr="00312027">
        <w:rPr>
          <w:rFonts w:ascii="Calibri" w:eastAsia="Calibri" w:hAnsi="Calibri" w:cs="Times New Roman"/>
          <w:color w:val="000000"/>
          <w:szCs w:val="20"/>
          <w:lang w:eastAsia="nl-BE"/>
        </w:rPr>
        <w:t xml:space="preserve">communicatiemateriaal (bv. brochure </w:t>
      </w:r>
      <w:r w:rsidR="004F53DF">
        <w:rPr>
          <w:rFonts w:ascii="Calibri" w:eastAsia="Calibri" w:hAnsi="Calibri" w:cs="Times New Roman"/>
          <w:color w:val="000000"/>
          <w:szCs w:val="20"/>
          <w:lang w:eastAsia="nl-BE"/>
        </w:rPr>
        <w:t>‘Slim Bouwen</w:t>
      </w:r>
      <w:r w:rsidR="00CE46DE">
        <w:rPr>
          <w:rFonts w:ascii="Calibri" w:eastAsia="Calibri" w:hAnsi="Calibri" w:cs="Times New Roman"/>
          <w:color w:val="000000"/>
          <w:szCs w:val="20"/>
          <w:lang w:eastAsia="nl-BE"/>
        </w:rPr>
        <w:t>, levenslang comfort’</w:t>
      </w:r>
      <w:r w:rsidRPr="00312027">
        <w:rPr>
          <w:rFonts w:ascii="Calibri" w:eastAsia="Calibri" w:hAnsi="Calibri" w:cs="Times New Roman"/>
          <w:color w:val="000000"/>
          <w:szCs w:val="20"/>
          <w:lang w:eastAsia="nl-BE"/>
        </w:rPr>
        <w:t>) en andere instrumenten</w:t>
      </w:r>
      <w:r w:rsidR="001268B8">
        <w:rPr>
          <w:rFonts w:ascii="Calibri" w:eastAsia="Calibri" w:hAnsi="Calibri" w:cs="Times New Roman"/>
          <w:color w:val="000000"/>
          <w:szCs w:val="20"/>
          <w:lang w:eastAsia="nl-BE"/>
        </w:rPr>
        <w:t xml:space="preserve"> (quickscan duurzame wijken)</w:t>
      </w:r>
      <w:r w:rsidRPr="00312027">
        <w:rPr>
          <w:rFonts w:ascii="Calibri" w:eastAsia="Calibri" w:hAnsi="Calibri" w:cs="Times New Roman"/>
          <w:color w:val="000000"/>
          <w:szCs w:val="20"/>
          <w:lang w:eastAsia="nl-BE"/>
        </w:rPr>
        <w:t xml:space="preserve">. </w:t>
      </w:r>
      <w:r w:rsidRPr="00312027">
        <w:rPr>
          <w:rFonts w:ascii="Calibri" w:eastAsia="Calibri" w:hAnsi="Calibri" w:cs="Times New Roman"/>
          <w:bCs/>
          <w:lang w:eastAsia="nl-BE"/>
        </w:rPr>
        <w:t xml:space="preserve">Dit bevordert een efficiënte en kwaliteitsvolle uitvoering van het </w:t>
      </w:r>
      <w:r w:rsidR="004F53DF" w:rsidRPr="00312027">
        <w:rPr>
          <w:rFonts w:ascii="Calibri" w:eastAsia="Calibri" w:hAnsi="Calibri" w:cs="Times New Roman"/>
          <w:bCs/>
          <w:lang w:eastAsia="nl-BE"/>
        </w:rPr>
        <w:t xml:space="preserve">aanbod. </w:t>
      </w:r>
      <w:r w:rsidRPr="00312027">
        <w:rPr>
          <w:rFonts w:ascii="Calibri" w:eastAsia="Calibri" w:hAnsi="Calibri" w:cs="Times New Roman"/>
          <w:color w:val="000000"/>
          <w:lang w:eastAsia="nl-BE"/>
        </w:rPr>
        <w:t xml:space="preserve">De duurzaamheidsmeters die zijn ontwikkeld door de Vlaamse overheid, vormen het </w:t>
      </w:r>
      <w:r w:rsidRPr="00C66336">
        <w:rPr>
          <w:rFonts w:ascii="Calibri" w:eastAsia="Calibri" w:hAnsi="Calibri" w:cs="Times New Roman"/>
          <w:color w:val="000000"/>
          <w:szCs w:val="20"/>
          <w:lang w:eastAsia="nl-BE"/>
        </w:rPr>
        <w:t>referentiekader voor de werking van de steunpunten</w:t>
      </w:r>
      <w:r w:rsidR="00C66336" w:rsidRPr="00C66336">
        <w:rPr>
          <w:rFonts w:ascii="Calibri" w:eastAsia="Calibri" w:hAnsi="Calibri" w:cs="Times New Roman"/>
          <w:color w:val="000000"/>
          <w:szCs w:val="20"/>
          <w:lang w:eastAsia="nl-BE"/>
        </w:rPr>
        <w:t xml:space="preserve">. </w:t>
      </w:r>
    </w:p>
    <w:p w:rsidR="00C66336" w:rsidRPr="00C66336" w:rsidRDefault="00C66336" w:rsidP="00C66336">
      <w:pPr>
        <w:spacing w:before="40" w:after="40" w:line="276" w:lineRule="auto"/>
        <w:contextualSpacing/>
        <w:rPr>
          <w:rFonts w:ascii="Calibri" w:eastAsia="Calibri" w:hAnsi="Calibri" w:cs="Times New Roman"/>
          <w:color w:val="000000"/>
          <w:szCs w:val="20"/>
          <w:lang w:eastAsia="nl-BE"/>
        </w:rPr>
      </w:pPr>
    </w:p>
    <w:p w:rsidR="00CE7202" w:rsidRDefault="00CE7202" w:rsidP="00C66336">
      <w:pPr>
        <w:spacing w:before="40" w:after="40" w:line="276" w:lineRule="auto"/>
        <w:contextualSpacing/>
        <w:jc w:val="both"/>
        <w:rPr>
          <w:rFonts w:ascii="Calibri" w:eastAsia="Calibri" w:hAnsi="Calibri" w:cs="Times New Roman"/>
          <w:color w:val="000000"/>
          <w:szCs w:val="20"/>
          <w:lang w:eastAsia="nl-BE"/>
        </w:rPr>
      </w:pPr>
    </w:p>
    <w:p w:rsidR="002A0237" w:rsidRDefault="00312027" w:rsidP="002A0237">
      <w:pPr>
        <w:spacing w:before="40" w:after="40" w:line="276" w:lineRule="auto"/>
        <w:contextualSpacing/>
        <w:jc w:val="both"/>
        <w:rPr>
          <w:rFonts w:ascii="Calibri" w:eastAsia="Calibri" w:hAnsi="Calibri" w:cs="Times New Roman"/>
          <w:color w:val="000000"/>
          <w:szCs w:val="20"/>
          <w:lang w:eastAsia="nl-BE"/>
        </w:rPr>
      </w:pPr>
      <w:r w:rsidRPr="00C66336">
        <w:rPr>
          <w:rFonts w:ascii="Calibri" w:eastAsia="Calibri" w:hAnsi="Calibri" w:cs="Times New Roman"/>
          <w:color w:val="000000"/>
          <w:szCs w:val="20"/>
          <w:lang w:eastAsia="nl-BE"/>
        </w:rPr>
        <w:lastRenderedPageBreak/>
        <w:t xml:space="preserve">Naast dit Vlaams netwerk is er ook een </w:t>
      </w:r>
      <w:r w:rsidR="00EA7300" w:rsidRPr="00C66336">
        <w:rPr>
          <w:rFonts w:ascii="Calibri" w:eastAsia="Calibri" w:hAnsi="Calibri" w:cs="Times New Roman"/>
          <w:color w:val="000000"/>
          <w:szCs w:val="20"/>
          <w:lang w:eastAsia="nl-BE"/>
        </w:rPr>
        <w:t xml:space="preserve">provinciaal </w:t>
      </w:r>
      <w:r w:rsidRPr="00C66336">
        <w:rPr>
          <w:rFonts w:ascii="Calibri" w:eastAsia="Calibri" w:hAnsi="Calibri" w:cs="Times New Roman"/>
          <w:color w:val="000000"/>
          <w:szCs w:val="20"/>
          <w:lang w:eastAsia="nl-BE"/>
        </w:rPr>
        <w:t>netwerk per steunpunt. Dit betreft vooreerst de steden en gemeenten met wie de provincie</w:t>
      </w:r>
      <w:r w:rsidR="00572B58" w:rsidRPr="00C66336">
        <w:rPr>
          <w:rFonts w:ascii="Calibri" w:eastAsia="Calibri" w:hAnsi="Calibri" w:cs="Times New Roman"/>
          <w:color w:val="000000"/>
          <w:szCs w:val="20"/>
          <w:lang w:eastAsia="nl-BE"/>
        </w:rPr>
        <w:t>besturen</w:t>
      </w:r>
      <w:r w:rsidRPr="00C66336">
        <w:rPr>
          <w:rFonts w:ascii="Calibri" w:eastAsia="Calibri" w:hAnsi="Calibri" w:cs="Times New Roman"/>
          <w:color w:val="000000"/>
          <w:szCs w:val="20"/>
          <w:lang w:eastAsia="nl-BE"/>
        </w:rPr>
        <w:t xml:space="preserve"> al sinds lang een goede samenwerking hebben</w:t>
      </w:r>
      <w:r w:rsidR="00572B58" w:rsidRPr="00C66336">
        <w:rPr>
          <w:rFonts w:ascii="Calibri" w:eastAsia="Calibri" w:hAnsi="Calibri" w:cs="Times New Roman"/>
          <w:color w:val="000000"/>
          <w:szCs w:val="20"/>
          <w:lang w:eastAsia="nl-BE"/>
        </w:rPr>
        <w:t>. Eveneens met</w:t>
      </w:r>
      <w:r w:rsidRPr="00C66336">
        <w:rPr>
          <w:rFonts w:ascii="Calibri" w:eastAsia="Calibri" w:hAnsi="Calibri" w:cs="Times New Roman"/>
          <w:color w:val="000000"/>
          <w:szCs w:val="20"/>
          <w:lang w:eastAsia="nl-BE"/>
        </w:rPr>
        <w:t>: Confederatie Bouw, Bouwunie, NAV, Eandis/Infrax, BBL, intercommunales, Gezinsbond, Energiesnoeiers,</w:t>
      </w:r>
      <w:r w:rsidR="003A2702">
        <w:rPr>
          <w:rFonts w:ascii="Calibri" w:eastAsia="Calibri" w:hAnsi="Calibri" w:cs="Times New Roman"/>
          <w:color w:val="000000"/>
          <w:szCs w:val="20"/>
          <w:lang w:eastAsia="nl-BE"/>
        </w:rPr>
        <w:t xml:space="preserve"> </w:t>
      </w:r>
      <w:r w:rsidR="00A51802" w:rsidRPr="00C66336">
        <w:rPr>
          <w:rFonts w:ascii="Calibri" w:eastAsia="Calibri" w:hAnsi="Calibri" w:cs="Times New Roman"/>
          <w:color w:val="000000"/>
          <w:szCs w:val="20"/>
          <w:lang w:eastAsia="nl-BE"/>
        </w:rPr>
        <w:t xml:space="preserve">kennisinstellingen, </w:t>
      </w:r>
      <w:r w:rsidR="003A2702">
        <w:rPr>
          <w:rFonts w:ascii="Calibri" w:eastAsia="Calibri" w:hAnsi="Calibri" w:cs="Times New Roman"/>
          <w:color w:val="000000"/>
          <w:szCs w:val="20"/>
          <w:lang w:eastAsia="nl-BE"/>
        </w:rPr>
        <w:t>e</w:t>
      </w:r>
      <w:r w:rsidRPr="00C66336">
        <w:rPr>
          <w:rFonts w:ascii="Calibri" w:eastAsia="Calibri" w:hAnsi="Calibri" w:cs="Times New Roman"/>
          <w:color w:val="000000"/>
          <w:szCs w:val="20"/>
          <w:lang w:eastAsia="nl-BE"/>
        </w:rPr>
        <w:t>nergiehuizen,</w:t>
      </w:r>
      <w:r w:rsidR="004D69FC" w:rsidRPr="00C66336">
        <w:rPr>
          <w:rFonts w:ascii="Calibri" w:eastAsia="Calibri" w:hAnsi="Calibri" w:cs="Times New Roman"/>
          <w:color w:val="000000"/>
          <w:szCs w:val="20"/>
          <w:lang w:eastAsia="nl-BE"/>
        </w:rPr>
        <w:t xml:space="preserve"> (inter)gemeentelijke wooninfopunten, </w:t>
      </w:r>
      <w:r w:rsidRPr="00C66336">
        <w:rPr>
          <w:rFonts w:ascii="Calibri" w:eastAsia="Calibri" w:hAnsi="Calibri" w:cs="Times New Roman"/>
          <w:color w:val="000000"/>
          <w:szCs w:val="20"/>
          <w:lang w:eastAsia="nl-BE"/>
        </w:rPr>
        <w:t xml:space="preserve"> VLAKWA, VEA,</w:t>
      </w:r>
      <w:r w:rsidR="004D69FC" w:rsidRPr="00C66336">
        <w:rPr>
          <w:rFonts w:ascii="Calibri" w:eastAsia="Calibri" w:hAnsi="Calibri" w:cs="Times New Roman"/>
          <w:color w:val="000000"/>
          <w:szCs w:val="20"/>
          <w:lang w:eastAsia="nl-BE"/>
        </w:rPr>
        <w:t xml:space="preserve"> diverse verenigingen</w:t>
      </w:r>
      <w:r w:rsidRPr="00C66336">
        <w:rPr>
          <w:rFonts w:ascii="Calibri" w:eastAsia="Calibri" w:hAnsi="Calibri" w:cs="Times New Roman"/>
          <w:color w:val="000000"/>
          <w:szCs w:val="20"/>
          <w:lang w:eastAsia="nl-BE"/>
        </w:rPr>
        <w:t xml:space="preserve"> …. Het onderhouden</w:t>
      </w:r>
      <w:r w:rsidRPr="00312027">
        <w:rPr>
          <w:rFonts w:ascii="Calibri" w:eastAsia="Calibri" w:hAnsi="Calibri" w:cs="Times New Roman"/>
          <w:bCs/>
          <w:lang w:eastAsia="nl-BE"/>
        </w:rPr>
        <w:t xml:space="preserve"> van dit netwerk is voor de steunpunten een blijvend aandachtspunt. Waar mogelijk (volgens beschikbaarheid middelen en personeel) wordt ingezet op nieuwe thema’s op het werkveld (bv. </w:t>
      </w:r>
      <w:r w:rsidR="00E247EC">
        <w:rPr>
          <w:rFonts w:ascii="Calibri" w:eastAsia="Calibri" w:hAnsi="Calibri" w:cs="Times New Roman"/>
          <w:bCs/>
          <w:lang w:eastAsia="nl-BE"/>
        </w:rPr>
        <w:t>r</w:t>
      </w:r>
      <w:r w:rsidRPr="00312027">
        <w:rPr>
          <w:rFonts w:ascii="Calibri" w:eastAsia="Calibri" w:hAnsi="Calibri" w:cs="Times New Roman"/>
          <w:bCs/>
          <w:lang w:eastAsia="nl-BE"/>
        </w:rPr>
        <w:t xml:space="preserve">enovatie appartementen, renovatiebegeleiding, duurzame wijken,….) of wordt ingespeeld op nieuwe ontwikkelingen op Vlaams niveau  (bv.  </w:t>
      </w:r>
      <w:r w:rsidR="00E247EC">
        <w:rPr>
          <w:rFonts w:ascii="Calibri" w:eastAsia="Calibri" w:hAnsi="Calibri" w:cs="Times New Roman"/>
          <w:bCs/>
          <w:lang w:eastAsia="nl-BE"/>
        </w:rPr>
        <w:t>b</w:t>
      </w:r>
      <w:r w:rsidRPr="00312027">
        <w:rPr>
          <w:rFonts w:ascii="Calibri" w:eastAsia="Calibri" w:hAnsi="Calibri" w:cs="Times New Roman"/>
          <w:bCs/>
          <w:lang w:eastAsia="nl-BE"/>
        </w:rPr>
        <w:t>urenpremie, luchtfoto</w:t>
      </w:r>
      <w:r w:rsidR="00E247EC">
        <w:rPr>
          <w:rFonts w:ascii="Calibri" w:eastAsia="Calibri" w:hAnsi="Calibri" w:cs="Times New Roman"/>
          <w:bCs/>
          <w:lang w:eastAsia="nl-BE"/>
        </w:rPr>
        <w:t>’s</w:t>
      </w:r>
      <w:r w:rsidRPr="00312027">
        <w:rPr>
          <w:rFonts w:ascii="Calibri" w:eastAsia="Calibri" w:hAnsi="Calibri" w:cs="Times New Roman"/>
          <w:bCs/>
          <w:lang w:eastAsia="nl-BE"/>
        </w:rPr>
        <w:t xml:space="preserve"> Eandis…)</w:t>
      </w:r>
      <w:r w:rsidR="00E247EC">
        <w:rPr>
          <w:rFonts w:ascii="Calibri" w:eastAsia="Calibri" w:hAnsi="Calibri" w:cs="Times New Roman"/>
          <w:bCs/>
          <w:lang w:eastAsia="nl-BE"/>
        </w:rPr>
        <w:t xml:space="preserve">. </w:t>
      </w:r>
      <w:r w:rsidRPr="00312027">
        <w:rPr>
          <w:rFonts w:ascii="Calibri" w:eastAsia="Calibri" w:hAnsi="Calibri" w:cs="Times New Roman"/>
          <w:bCs/>
          <w:lang w:eastAsia="nl-BE"/>
        </w:rPr>
        <w:t xml:space="preserve">  </w:t>
      </w:r>
    </w:p>
    <w:p w:rsidR="00E247EC" w:rsidRPr="00E247EC" w:rsidRDefault="00E247EC" w:rsidP="002A0237">
      <w:pPr>
        <w:spacing w:before="40" w:after="40" w:line="276" w:lineRule="auto"/>
        <w:contextualSpacing/>
        <w:jc w:val="both"/>
        <w:rPr>
          <w:rFonts w:ascii="Calibri" w:eastAsia="Calibri" w:hAnsi="Calibri" w:cs="Times New Roman"/>
          <w:color w:val="000000"/>
          <w:szCs w:val="20"/>
          <w:lang w:eastAsia="nl-BE"/>
        </w:rPr>
      </w:pPr>
    </w:p>
    <w:p w:rsidR="00312027" w:rsidRPr="002A0237" w:rsidRDefault="00312027" w:rsidP="002A0237">
      <w:pPr>
        <w:keepNext/>
        <w:keepLines/>
        <w:numPr>
          <w:ilvl w:val="0"/>
          <w:numId w:val="7"/>
        </w:numPr>
        <w:spacing w:before="240" w:after="0" w:line="240" w:lineRule="auto"/>
        <w:jc w:val="both"/>
        <w:outlineLvl w:val="0"/>
        <w:rPr>
          <w:rFonts w:ascii="Calibri" w:eastAsia="Times New Roman" w:hAnsi="Calibri" w:cs="Times New Roman"/>
          <w:b/>
          <w:color w:val="000000"/>
          <w:szCs w:val="32"/>
          <w:u w:val="single"/>
        </w:rPr>
      </w:pPr>
      <w:r w:rsidRPr="002A0237">
        <w:rPr>
          <w:rFonts w:ascii="Calibri" w:eastAsia="Times New Roman" w:hAnsi="Calibri" w:cs="Times New Roman"/>
          <w:b/>
          <w:color w:val="000000"/>
          <w:szCs w:val="32"/>
          <w:u w:val="single"/>
        </w:rPr>
        <w:t>Het aanbod van de steunpunten duurzaam wonen en bouwen</w:t>
      </w:r>
    </w:p>
    <w:p w:rsidR="00312027" w:rsidRPr="00312027" w:rsidRDefault="00312027" w:rsidP="008F2E94">
      <w:pPr>
        <w:keepNext/>
        <w:keepLines/>
        <w:spacing w:before="40" w:after="0" w:line="240" w:lineRule="auto"/>
        <w:ind w:left="284"/>
        <w:outlineLvl w:val="1"/>
        <w:rPr>
          <w:rFonts w:ascii="Calibri Light" w:eastAsia="Times New Roman" w:hAnsi="Calibri Light" w:cs="Times New Roman"/>
          <w:b/>
          <w:color w:val="000000"/>
          <w:sz w:val="24"/>
          <w:szCs w:val="26"/>
        </w:rPr>
      </w:pPr>
    </w:p>
    <w:p w:rsidR="00312027" w:rsidRPr="00E247EC" w:rsidRDefault="00312027" w:rsidP="008F2E94">
      <w:pPr>
        <w:keepNext/>
        <w:keepLines/>
        <w:numPr>
          <w:ilvl w:val="0"/>
          <w:numId w:val="8"/>
        </w:numPr>
        <w:spacing w:before="40" w:after="0" w:line="240" w:lineRule="auto"/>
        <w:ind w:left="284" w:hanging="284"/>
        <w:outlineLvl w:val="1"/>
        <w:rPr>
          <w:rFonts w:ascii="Calibri" w:eastAsia="Times New Roman" w:hAnsi="Calibri" w:cs="Calibri"/>
          <w:b/>
          <w:color w:val="000000"/>
          <w:szCs w:val="26"/>
        </w:rPr>
      </w:pPr>
      <w:r w:rsidRPr="00E247EC">
        <w:rPr>
          <w:rFonts w:ascii="Calibri" w:eastAsia="Times New Roman" w:hAnsi="Calibri" w:cs="Calibri"/>
          <w:b/>
          <w:color w:val="000000"/>
          <w:szCs w:val="26"/>
        </w:rPr>
        <w:t>Onafhankelijk en objectief advies op maat van particulieren</w:t>
      </w:r>
    </w:p>
    <w:p w:rsidR="00312027" w:rsidRPr="00312027" w:rsidRDefault="00312027" w:rsidP="00312027">
      <w:pPr>
        <w:spacing w:before="40" w:after="40" w:line="276" w:lineRule="auto"/>
        <w:ind w:left="1494"/>
        <w:contextualSpacing/>
        <w:rPr>
          <w:rFonts w:ascii="Calibri" w:eastAsia="Calibri" w:hAnsi="Calibri" w:cs="Times New Roman"/>
          <w:sz w:val="20"/>
          <w:szCs w:val="20"/>
          <w:lang w:eastAsia="nl-BE"/>
        </w:rPr>
      </w:pPr>
    </w:p>
    <w:p w:rsidR="004D69FC" w:rsidRPr="00CE7202" w:rsidRDefault="00312027" w:rsidP="00CE7202">
      <w:pPr>
        <w:spacing w:line="276" w:lineRule="auto"/>
        <w:jc w:val="both"/>
        <w:rPr>
          <w:rFonts w:ascii="Calibri" w:eastAsia="Calibri" w:hAnsi="Calibri" w:cs="Times New Roman"/>
          <w:bCs/>
          <w:lang w:eastAsia="nl-BE"/>
        </w:rPr>
      </w:pPr>
      <w:r w:rsidRPr="00CE7202">
        <w:rPr>
          <w:rFonts w:ascii="Calibri" w:eastAsia="Calibri" w:hAnsi="Calibri" w:cs="Times New Roman"/>
          <w:bCs/>
          <w:lang w:eastAsia="nl-BE"/>
        </w:rPr>
        <w:t>De steunpunten verlenen duurzaam bouwadvies voor zowel nieuwbouw als renovatie.</w:t>
      </w:r>
      <w:r w:rsidR="00E247EC">
        <w:rPr>
          <w:rFonts w:ascii="Calibri" w:eastAsia="Calibri" w:hAnsi="Calibri" w:cs="Times New Roman"/>
          <w:bCs/>
          <w:lang w:eastAsia="nl-BE"/>
        </w:rPr>
        <w:t xml:space="preserve"> </w:t>
      </w:r>
      <w:r w:rsidR="004D69FC" w:rsidRPr="00CE7202">
        <w:rPr>
          <w:rFonts w:ascii="Calibri" w:eastAsia="Calibri" w:hAnsi="Calibri" w:cs="Times New Roman"/>
          <w:bCs/>
          <w:lang w:eastAsia="nl-BE"/>
        </w:rPr>
        <w:t>De adviseurs van de steunpunten hebben een ingenieurs-of architectendiploma  en beschikken over een degelijke technische kennis. De adviseurs worden op dit vlak ook permanent gevormd over de laatste ontwikkelingen en technieken</w:t>
      </w:r>
    </w:p>
    <w:p w:rsidR="00C66336" w:rsidRDefault="00312027" w:rsidP="00C66336">
      <w:pPr>
        <w:spacing w:before="40" w:after="40" w:line="276" w:lineRule="auto"/>
        <w:jc w:val="both"/>
      </w:pPr>
      <w:r w:rsidRPr="00312027">
        <w:rPr>
          <w:rFonts w:ascii="Calibri" w:eastAsia="Calibri" w:hAnsi="Calibri" w:cs="Times New Roman"/>
        </w:rPr>
        <w:t>Bij de overgrote meerderheid van de adviezen gaat het om renovaties, waarbij in de meeste provincies een plaatsbezoek wordt gebracht.</w:t>
      </w:r>
      <w:r w:rsidR="00C66336">
        <w:rPr>
          <w:rFonts w:ascii="Calibri" w:eastAsia="Calibri" w:hAnsi="Calibri" w:cs="Times New Roman"/>
        </w:rPr>
        <w:t xml:space="preserve"> </w:t>
      </w:r>
      <w:r w:rsidR="00484F1B">
        <w:t xml:space="preserve">Na elk plaatsbezoek wordt er een uitgebreid </w:t>
      </w:r>
      <w:r w:rsidR="00484F1B" w:rsidRPr="00C66336">
        <w:t>adviesverslag opgemaakt met enerzijds een antwoord op de vraag van de klant. Anderzijds worden alle maatregelen opgenomen om op lange termijn tot een doorgedreven duurzame renovatie te komen. De integratie van dit stappenplan is een meerwaarde voor verbouwers. Op deze manier kan er gefaseerd gewerkt worden zonder toekomstige ingrepen te verhinderen en worden lock–ins vermeden.</w:t>
      </w:r>
    </w:p>
    <w:p w:rsidR="00C66336" w:rsidRDefault="00C66336" w:rsidP="00C66336">
      <w:pPr>
        <w:spacing w:before="40" w:after="40" w:line="276" w:lineRule="auto"/>
        <w:jc w:val="both"/>
      </w:pPr>
    </w:p>
    <w:p w:rsidR="00484F1B" w:rsidRDefault="00484F1B" w:rsidP="00C66336">
      <w:pPr>
        <w:spacing w:before="40" w:after="40" w:line="276" w:lineRule="auto"/>
        <w:jc w:val="both"/>
      </w:pPr>
      <w:r>
        <w:t>De provinciale  Steunpunten Duurzaam Wonen en Bouwen hebben er bewust voor gekozen om het renovatieadvies te enten op de ‘Vlaamse Maatstaf voor Duurzaam Wonen en Bouwen. Deze maatstaf biedt een breder duurzaamheidsperspectief dan louter het energieaspect van de woning. Zo biedt de maatstaf ook houvast met betrekking tot waterverbruik, hemelwater, de afvalstromen en mobiliteit. Dit maakt een renovatieadvies een prima gelegenheid voor de klant om stil te staan bij het eigen duurzaam handelen en de woonkwaliteit die men nastreeft.</w:t>
      </w:r>
      <w:r w:rsidR="004D69FC" w:rsidRPr="004D69FC">
        <w:rPr>
          <w:szCs w:val="20"/>
        </w:rPr>
        <w:t xml:space="preserve"> </w:t>
      </w:r>
      <w:r w:rsidR="004D69FC">
        <w:rPr>
          <w:szCs w:val="20"/>
        </w:rPr>
        <w:t xml:space="preserve"> </w:t>
      </w:r>
    </w:p>
    <w:p w:rsidR="00D92E16" w:rsidRDefault="00D92E16" w:rsidP="00312027">
      <w:pPr>
        <w:spacing w:before="40" w:after="40" w:line="276" w:lineRule="auto"/>
        <w:jc w:val="both"/>
        <w:rPr>
          <w:rFonts w:ascii="Calibri" w:eastAsia="Times New Roman" w:hAnsi="Calibri" w:cs="Times New Roman"/>
          <w:spacing w:val="-3"/>
          <w:szCs w:val="20"/>
          <w:lang w:eastAsia="nl-BE"/>
        </w:rPr>
      </w:pPr>
    </w:p>
    <w:p w:rsidR="00E247EC" w:rsidRDefault="00312027" w:rsidP="00312027">
      <w:pPr>
        <w:spacing w:before="40" w:after="40" w:line="276" w:lineRule="auto"/>
        <w:jc w:val="both"/>
      </w:pPr>
      <w:r w:rsidRPr="00C66336">
        <w:t xml:space="preserve">Vaak gaat het om ingrepen zoals het plaatsen van isolatie,  nieuwe ramen of een verwarmingssysteem, die zonder vergunning of architect uitgevoerd kunnen worden en waarvoor geen plannen beschikbaar zijn.  Indien voor bepaalde werken wel een architect is aangewezen, wordt dit door de adviseur duidelijk aangegeven. Er wordt ook steeds gewezen op het belang van een kwalitatieve uitvoering en doorverwezen naar lijsten van professionelen die door de sector ter beschikking gesteld worden.  </w:t>
      </w:r>
    </w:p>
    <w:p w:rsidR="00E247EC" w:rsidRDefault="00E247EC" w:rsidP="00312027">
      <w:pPr>
        <w:spacing w:before="40" w:after="40" w:line="276" w:lineRule="auto"/>
        <w:jc w:val="both"/>
      </w:pPr>
    </w:p>
    <w:p w:rsidR="00E247EC" w:rsidRDefault="00E247EC" w:rsidP="00312027">
      <w:pPr>
        <w:spacing w:before="40" w:after="40" w:line="276" w:lineRule="auto"/>
        <w:jc w:val="both"/>
      </w:pPr>
    </w:p>
    <w:p w:rsidR="00E247EC" w:rsidRDefault="00312027" w:rsidP="00E247EC">
      <w:pPr>
        <w:spacing w:before="40" w:after="40" w:line="276" w:lineRule="auto"/>
        <w:jc w:val="both"/>
      </w:pPr>
      <w:r w:rsidRPr="00C66336">
        <w:lastRenderedPageBreak/>
        <w:t xml:space="preserve">Meerwaarde van het bouwadvies: </w:t>
      </w:r>
    </w:p>
    <w:p w:rsidR="00E247EC" w:rsidRPr="00E247EC" w:rsidRDefault="00E247EC" w:rsidP="00E247EC">
      <w:pPr>
        <w:spacing w:before="40" w:after="40" w:line="276" w:lineRule="auto"/>
        <w:jc w:val="both"/>
      </w:pPr>
    </w:p>
    <w:p w:rsidR="00312027" w:rsidRPr="00312027" w:rsidRDefault="00312027" w:rsidP="00C6633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Op maat van de particulier</w:t>
      </w:r>
    </w:p>
    <w:p w:rsidR="00312027" w:rsidRPr="00312027" w:rsidRDefault="00312027" w:rsidP="00C6633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Op maat van de woning</w:t>
      </w:r>
    </w:p>
    <w:p w:rsidR="00312027" w:rsidRPr="00312027" w:rsidRDefault="00312027" w:rsidP="00C6633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Biedt een totaalvisie</w:t>
      </w:r>
    </w:p>
    <w:p w:rsidR="00312027" w:rsidRPr="00312027" w:rsidRDefault="00312027" w:rsidP="00C6633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Onafhankelijk</w:t>
      </w:r>
    </w:p>
    <w:p w:rsidR="00312027" w:rsidRPr="00312027" w:rsidRDefault="00312027" w:rsidP="00C6633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Verruimt de blik</w:t>
      </w:r>
    </w:p>
    <w:p w:rsidR="00312027" w:rsidRPr="00312027" w:rsidRDefault="00312027" w:rsidP="00C6633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Kwaliteit: gegeven door architecten of bouwkundig ingenieurs</w:t>
      </w:r>
    </w:p>
    <w:p w:rsidR="00D92E16" w:rsidRPr="007727A6" w:rsidRDefault="00312027" w:rsidP="007727A6">
      <w:pPr>
        <w:numPr>
          <w:ilvl w:val="0"/>
          <w:numId w:val="10"/>
        </w:numPr>
        <w:spacing w:after="200" w:line="276" w:lineRule="auto"/>
        <w:contextualSpacing/>
        <w:jc w:val="both"/>
        <w:rPr>
          <w:rFonts w:ascii="Calibri" w:eastAsia="Calibri" w:hAnsi="Calibri" w:cs="Times New Roman"/>
          <w:color w:val="000000"/>
          <w:lang w:eastAsia="nl-BE"/>
        </w:rPr>
      </w:pPr>
      <w:r w:rsidRPr="00312027">
        <w:rPr>
          <w:rFonts w:ascii="Calibri" w:eastAsia="Calibri" w:hAnsi="Calibri" w:cs="Times New Roman"/>
          <w:color w:val="000000"/>
          <w:lang w:eastAsia="nl-BE"/>
        </w:rPr>
        <w:t>Gesteund door een verslag en/of inhoudelijke fiches over de besproken thema’s die de aanvrager achteraf ontvangt</w:t>
      </w:r>
    </w:p>
    <w:p w:rsidR="00D92E16" w:rsidRPr="00312027" w:rsidRDefault="00D92E16" w:rsidP="00C66336">
      <w:pPr>
        <w:spacing w:after="200" w:line="276" w:lineRule="auto"/>
        <w:ind w:left="720"/>
        <w:contextualSpacing/>
        <w:jc w:val="both"/>
        <w:rPr>
          <w:rFonts w:ascii="Calibri" w:eastAsia="Calibri" w:hAnsi="Calibri" w:cs="Times New Roman"/>
          <w:color w:val="000000"/>
          <w:lang w:eastAsia="nl-BE"/>
        </w:rPr>
      </w:pPr>
    </w:p>
    <w:p w:rsidR="00484F1B" w:rsidRDefault="00312027" w:rsidP="00E247EC">
      <w:pPr>
        <w:spacing w:after="0" w:line="276" w:lineRule="auto"/>
        <w:jc w:val="both"/>
        <w:rPr>
          <w:rFonts w:ascii="Calibri" w:eastAsia="Calibri" w:hAnsi="Calibri" w:cs="Times New Roman"/>
          <w:lang w:val="nl-NL"/>
        </w:rPr>
      </w:pPr>
      <w:r w:rsidRPr="00312027">
        <w:rPr>
          <w:rFonts w:ascii="Calibri" w:eastAsia="Calibri" w:hAnsi="Calibri" w:cs="Times New Roman"/>
          <w:lang w:val="nl-NL"/>
        </w:rPr>
        <w:t>Daarnaast wordt door de steunpunten ingezet op diverse (samenwerkings)projecten gericht op renovatie van woningen voor particulieren</w:t>
      </w:r>
      <w:r w:rsidR="00D92E16">
        <w:rPr>
          <w:rFonts w:ascii="Calibri" w:eastAsia="Calibri" w:hAnsi="Calibri" w:cs="Times New Roman"/>
          <w:lang w:val="nl-NL"/>
        </w:rPr>
        <w:t xml:space="preserve">. </w:t>
      </w:r>
      <w:r w:rsidR="00484F1B">
        <w:rPr>
          <w:rFonts w:ascii="Calibri" w:eastAsia="Calibri" w:hAnsi="Calibri" w:cs="Times New Roman"/>
          <w:lang w:val="nl-NL"/>
        </w:rPr>
        <w:t xml:space="preserve">Ondertussen hebben de provincies ook ruime ervaring met het opzetten van </w:t>
      </w:r>
      <w:r w:rsidR="00484F1B" w:rsidRPr="007727A6">
        <w:rPr>
          <w:rFonts w:ascii="Calibri" w:eastAsia="Calibri" w:hAnsi="Calibri" w:cs="Times New Roman"/>
          <w:lang w:val="nl-NL"/>
        </w:rPr>
        <w:t>collectieve renovatieprojecten</w:t>
      </w:r>
      <w:r w:rsidR="00484F1B">
        <w:rPr>
          <w:rFonts w:ascii="Calibri" w:eastAsia="Calibri" w:hAnsi="Calibri" w:cs="Times New Roman"/>
          <w:lang w:val="nl-NL"/>
        </w:rPr>
        <w:t xml:space="preserve"> aan de hand van verschillende methodieken (o.a. gevel</w:t>
      </w:r>
      <w:r w:rsidR="00EA7300">
        <w:rPr>
          <w:rFonts w:ascii="Calibri" w:eastAsia="Calibri" w:hAnsi="Calibri" w:cs="Times New Roman"/>
          <w:lang w:val="nl-NL"/>
        </w:rPr>
        <w:t xml:space="preserve"> en woningthermografie,</w:t>
      </w:r>
      <w:r w:rsidR="00484F1B">
        <w:rPr>
          <w:rFonts w:ascii="Calibri" w:eastAsia="Calibri" w:hAnsi="Calibri" w:cs="Times New Roman"/>
          <w:lang w:val="nl-NL"/>
        </w:rPr>
        <w:t xml:space="preserve"> wijkniveau of naar specifieke doelgroepen</w:t>
      </w:r>
      <w:r w:rsidR="004F53DF">
        <w:rPr>
          <w:rFonts w:ascii="Calibri" w:eastAsia="Calibri" w:hAnsi="Calibri" w:cs="Times New Roman"/>
          <w:lang w:val="nl-NL"/>
        </w:rPr>
        <w:t xml:space="preserve"> (</w:t>
      </w:r>
      <w:r w:rsidR="004F53DF" w:rsidRPr="004F53DF">
        <w:rPr>
          <w:rFonts w:ascii="Calibri" w:eastAsia="Calibri" w:hAnsi="Calibri" w:cs="Times New Roman"/>
          <w:lang w:val="nl-NL"/>
        </w:rPr>
        <w:t>proefproje</w:t>
      </w:r>
      <w:r w:rsidR="004F53DF">
        <w:rPr>
          <w:rFonts w:ascii="Calibri" w:eastAsia="Calibri" w:hAnsi="Calibri" w:cs="Times New Roman"/>
          <w:lang w:val="nl-NL"/>
        </w:rPr>
        <w:t xml:space="preserve">ct subsidieretentie, financiële </w:t>
      </w:r>
      <w:r w:rsidR="004F53DF" w:rsidRPr="004F53DF">
        <w:rPr>
          <w:rFonts w:ascii="Calibri" w:eastAsia="Calibri" w:hAnsi="Calibri" w:cs="Times New Roman"/>
          <w:lang w:val="nl-NL"/>
        </w:rPr>
        <w:t>en renovatiebegeleidingen bij noodbewoners</w:t>
      </w:r>
      <w:r w:rsidR="00484F1B">
        <w:rPr>
          <w:rFonts w:ascii="Calibri" w:eastAsia="Calibri" w:hAnsi="Calibri" w:cs="Times New Roman"/>
          <w:lang w:val="nl-NL"/>
        </w:rPr>
        <w:t>)</w:t>
      </w:r>
      <w:r w:rsidR="00EA7300">
        <w:rPr>
          <w:rFonts w:ascii="Calibri" w:eastAsia="Calibri" w:hAnsi="Calibri" w:cs="Times New Roman"/>
          <w:lang w:val="nl-NL"/>
        </w:rPr>
        <w:t xml:space="preserve"> onder andere in het kader van de burenpremie.</w:t>
      </w:r>
    </w:p>
    <w:p w:rsidR="00D92E16" w:rsidRPr="004F53DF" w:rsidRDefault="00D92E16" w:rsidP="00E247EC">
      <w:pPr>
        <w:keepNext/>
        <w:keepLines/>
        <w:spacing w:before="40" w:after="0" w:line="276" w:lineRule="auto"/>
        <w:outlineLvl w:val="1"/>
        <w:rPr>
          <w:rFonts w:ascii="Calibri" w:eastAsia="Calibri" w:hAnsi="Calibri" w:cs="Times New Roman"/>
          <w:lang w:val="nl-NL"/>
        </w:rPr>
      </w:pPr>
    </w:p>
    <w:p w:rsidR="00312027" w:rsidRPr="00E247EC" w:rsidRDefault="00312027" w:rsidP="008F2E94">
      <w:pPr>
        <w:keepNext/>
        <w:keepLines/>
        <w:numPr>
          <w:ilvl w:val="0"/>
          <w:numId w:val="8"/>
        </w:numPr>
        <w:spacing w:before="40" w:after="0" w:line="240" w:lineRule="auto"/>
        <w:ind w:left="284" w:hanging="284"/>
        <w:outlineLvl w:val="1"/>
        <w:rPr>
          <w:rFonts w:eastAsia="Times New Roman" w:cstheme="minorHAnsi"/>
          <w:b/>
          <w:color w:val="000000"/>
          <w:szCs w:val="26"/>
        </w:rPr>
      </w:pPr>
      <w:r w:rsidRPr="00E247EC">
        <w:rPr>
          <w:rFonts w:eastAsia="Times New Roman" w:cstheme="minorHAnsi"/>
          <w:b/>
          <w:color w:val="000000"/>
          <w:szCs w:val="26"/>
        </w:rPr>
        <w:t>Ondersteuning en advisering van lokale overheden en andere organisaties</w:t>
      </w:r>
    </w:p>
    <w:p w:rsidR="00312027" w:rsidRPr="007727A6" w:rsidRDefault="00312027" w:rsidP="007727A6">
      <w:pPr>
        <w:keepNext/>
        <w:keepLines/>
        <w:spacing w:before="40" w:after="0" w:line="240" w:lineRule="auto"/>
        <w:ind w:left="284"/>
        <w:outlineLvl w:val="1"/>
        <w:rPr>
          <w:rFonts w:ascii="Calibri Light" w:eastAsia="Times New Roman" w:hAnsi="Calibri Light" w:cs="Times New Roman"/>
          <w:b/>
          <w:color w:val="000000"/>
          <w:szCs w:val="26"/>
        </w:rPr>
      </w:pPr>
    </w:p>
    <w:p w:rsidR="00CE7202" w:rsidRPr="00E247EC" w:rsidRDefault="00312027" w:rsidP="00CE7202">
      <w:pPr>
        <w:pStyle w:val="Lijstalinea"/>
        <w:numPr>
          <w:ilvl w:val="0"/>
          <w:numId w:val="14"/>
        </w:numPr>
        <w:spacing w:after="200" w:line="276" w:lineRule="auto"/>
        <w:contextualSpacing/>
        <w:rPr>
          <w:rFonts w:eastAsia="Calibri" w:cs="Times New Roman"/>
          <w:color w:val="000000"/>
        </w:rPr>
      </w:pPr>
      <w:r w:rsidRPr="00E247EC">
        <w:rPr>
          <w:rFonts w:eastAsia="Calibri" w:cs="Times New Roman"/>
          <w:color w:val="000000"/>
        </w:rPr>
        <w:t xml:space="preserve">Advies en ondersteuning van projecten op gebouw- of wijkniveau van publieke of semi-publieke actoren   </w:t>
      </w:r>
    </w:p>
    <w:p w:rsidR="00CE7202" w:rsidRDefault="00CE7202" w:rsidP="00CE7202">
      <w:pPr>
        <w:pStyle w:val="Lijstalinea"/>
        <w:spacing w:after="200" w:line="276" w:lineRule="auto"/>
        <w:contextualSpacing/>
        <w:rPr>
          <w:rFonts w:eastAsia="Calibri" w:cs="Times New Roman"/>
          <w:color w:val="000000"/>
        </w:rPr>
      </w:pPr>
    </w:p>
    <w:p w:rsidR="00CE7202" w:rsidRPr="006E2085" w:rsidRDefault="00312027" w:rsidP="006E2085">
      <w:pPr>
        <w:pStyle w:val="Lijstalinea"/>
        <w:numPr>
          <w:ilvl w:val="0"/>
          <w:numId w:val="14"/>
        </w:numPr>
        <w:spacing w:after="200" w:line="276" w:lineRule="auto"/>
        <w:contextualSpacing/>
        <w:rPr>
          <w:rFonts w:eastAsia="Calibri" w:cs="Times New Roman"/>
          <w:color w:val="000000"/>
        </w:rPr>
      </w:pPr>
      <w:r w:rsidRPr="00CE7202">
        <w:rPr>
          <w:rFonts w:eastAsia="Calibri" w:cs="Times New Roman"/>
          <w:color w:val="000000"/>
        </w:rPr>
        <w:t xml:space="preserve">Advies bij concrete </w:t>
      </w:r>
      <w:r w:rsidR="003D50B2" w:rsidRPr="00CE7202">
        <w:rPr>
          <w:rFonts w:eastAsia="Calibri" w:cs="Times New Roman"/>
          <w:color w:val="000000"/>
        </w:rPr>
        <w:t>(ver-)</w:t>
      </w:r>
      <w:r w:rsidRPr="00CE7202">
        <w:rPr>
          <w:rFonts w:eastAsia="Calibri" w:cs="Times New Roman"/>
          <w:color w:val="000000"/>
        </w:rPr>
        <w:t xml:space="preserve">bouwprojecten: </w:t>
      </w:r>
    </w:p>
    <w:p w:rsidR="00312027" w:rsidRPr="006E2085" w:rsidRDefault="00312027" w:rsidP="006E2085">
      <w:pPr>
        <w:spacing w:after="200" w:line="276" w:lineRule="auto"/>
        <w:contextualSpacing/>
        <w:jc w:val="both"/>
        <w:rPr>
          <w:rFonts w:eastAsia="Calibri" w:cs="Times New Roman"/>
          <w:color w:val="000000"/>
        </w:rPr>
      </w:pPr>
      <w:r w:rsidRPr="006E2085">
        <w:rPr>
          <w:rFonts w:eastAsia="Calibri" w:cs="Times New Roman"/>
          <w:color w:val="000000"/>
        </w:rPr>
        <w:t>De steunpunten begeleiden gemeenten of andere actoren bij het verduurzamen van hun geplande bouwprojecten (nieuwbouw, renovatie). Daarnaast adviseren de steunpunten ook bij grotere wijkprojecten, projecten van collectieve wijkrenovatie of van nieuwe woonvormen (keuze maatregelen, informeren bewoners enzovoort)</w:t>
      </w:r>
      <w:r w:rsidR="00572B58" w:rsidRPr="006E2085">
        <w:rPr>
          <w:rFonts w:eastAsia="Calibri" w:cs="Times New Roman"/>
          <w:color w:val="000000"/>
        </w:rPr>
        <w:t>.</w:t>
      </w:r>
    </w:p>
    <w:p w:rsidR="00572B58" w:rsidRPr="006E2085" w:rsidRDefault="00572B58" w:rsidP="006E2085">
      <w:pPr>
        <w:spacing w:after="200" w:line="276" w:lineRule="auto"/>
        <w:contextualSpacing/>
        <w:jc w:val="both"/>
        <w:rPr>
          <w:rFonts w:eastAsia="Calibri" w:cs="Times New Roman"/>
          <w:color w:val="000000"/>
        </w:rPr>
      </w:pPr>
    </w:p>
    <w:p w:rsidR="00E247EC" w:rsidRDefault="00312027" w:rsidP="006E2085">
      <w:pPr>
        <w:spacing w:after="200" w:line="276" w:lineRule="auto"/>
        <w:contextualSpacing/>
        <w:jc w:val="both"/>
        <w:rPr>
          <w:rFonts w:eastAsia="Calibri" w:cs="Times New Roman"/>
          <w:color w:val="000000"/>
        </w:rPr>
      </w:pPr>
      <w:r w:rsidRPr="006E2085">
        <w:rPr>
          <w:rFonts w:eastAsia="Calibri" w:cs="Times New Roman"/>
          <w:color w:val="000000"/>
        </w:rPr>
        <w:t xml:space="preserve">Er werd voor </w:t>
      </w:r>
      <w:r w:rsidR="006E2085" w:rsidRPr="006E2085">
        <w:rPr>
          <w:rFonts w:eastAsia="Calibri" w:cs="Times New Roman"/>
          <w:color w:val="000000"/>
        </w:rPr>
        <w:t xml:space="preserve">het </w:t>
      </w:r>
      <w:r w:rsidRPr="006E2085">
        <w:rPr>
          <w:rFonts w:eastAsia="Calibri" w:cs="Times New Roman"/>
          <w:color w:val="000000"/>
        </w:rPr>
        <w:t>VEA ook een specifiek traject opgezet voor het stimuleren en adviseren van gemeenten tot het realiseren van BEN-gebouwen. In het kader van de samenwerkingsovereenkomst met de Vlaamse overheid werd ook een samenwerking opgezet met het Team Vlaams Bouwmeester, met het oog op het bundelen van kennis en middelen en de inspanningen beter op elkaar af te stemmen zodat publieke opdrachtgevers maar ook ontwerpers ondersteund en gestimuleerd worden  om op vlak van duurzaamheid steeds betere resultaten te boeken.</w:t>
      </w:r>
    </w:p>
    <w:p w:rsidR="006E2085" w:rsidRPr="006E2085" w:rsidRDefault="006E2085" w:rsidP="006E2085">
      <w:pPr>
        <w:spacing w:after="200" w:line="276" w:lineRule="auto"/>
        <w:contextualSpacing/>
        <w:jc w:val="both"/>
        <w:rPr>
          <w:rFonts w:eastAsia="Calibri" w:cs="Times New Roman"/>
          <w:color w:val="000000"/>
        </w:rPr>
      </w:pPr>
    </w:p>
    <w:p w:rsidR="00312027" w:rsidRPr="00E247EC" w:rsidRDefault="00312027" w:rsidP="00312027">
      <w:pPr>
        <w:numPr>
          <w:ilvl w:val="0"/>
          <w:numId w:val="9"/>
        </w:numPr>
        <w:spacing w:before="40" w:after="40" w:line="276" w:lineRule="auto"/>
        <w:contextualSpacing/>
        <w:rPr>
          <w:rFonts w:ascii="Calibri" w:eastAsia="Calibri" w:hAnsi="Calibri" w:cs="Times New Roman"/>
          <w:bCs/>
          <w:lang w:eastAsia="nl-BE"/>
        </w:rPr>
      </w:pPr>
      <w:r w:rsidRPr="00E247EC">
        <w:rPr>
          <w:rFonts w:ascii="Calibri" w:eastAsia="Calibri" w:hAnsi="Calibri" w:cs="Times New Roman"/>
          <w:bCs/>
          <w:lang w:eastAsia="nl-BE"/>
        </w:rPr>
        <w:t>Opleiding voor gemeenten</w:t>
      </w:r>
      <w:r w:rsidR="003D50B2" w:rsidRPr="00E247EC">
        <w:rPr>
          <w:rFonts w:ascii="Calibri" w:eastAsia="Calibri" w:hAnsi="Calibri" w:cs="Times New Roman"/>
          <w:bCs/>
          <w:lang w:eastAsia="nl-BE"/>
        </w:rPr>
        <w:t xml:space="preserve"> en scholen</w:t>
      </w:r>
      <w:r w:rsidR="00D92E16" w:rsidRPr="00E247EC">
        <w:rPr>
          <w:rFonts w:ascii="Calibri" w:eastAsia="Calibri" w:hAnsi="Calibri" w:cs="Times New Roman"/>
          <w:bCs/>
          <w:lang w:eastAsia="nl-BE"/>
        </w:rPr>
        <w:t>:</w:t>
      </w:r>
    </w:p>
    <w:p w:rsidR="006E2085" w:rsidRDefault="006E2085" w:rsidP="006E2085">
      <w:pPr>
        <w:spacing w:before="40" w:after="40" w:line="276" w:lineRule="auto"/>
        <w:contextualSpacing/>
        <w:rPr>
          <w:rFonts w:ascii="Calibri" w:eastAsia="Calibri" w:hAnsi="Calibri" w:cs="Times New Roman"/>
          <w:color w:val="000000"/>
          <w:lang w:eastAsia="nl-BE"/>
        </w:rPr>
      </w:pPr>
    </w:p>
    <w:p w:rsidR="00312027" w:rsidRDefault="00312027" w:rsidP="006E2085">
      <w:pPr>
        <w:spacing w:before="40" w:after="40" w:line="276" w:lineRule="auto"/>
        <w:contextualSpacing/>
        <w:rPr>
          <w:rFonts w:ascii="Calibri" w:eastAsia="Calibri" w:hAnsi="Calibri" w:cs="Times New Roman"/>
          <w:color w:val="000000"/>
          <w:lang w:eastAsia="nl-BE"/>
        </w:rPr>
      </w:pPr>
      <w:r w:rsidRPr="00312027">
        <w:rPr>
          <w:rFonts w:ascii="Calibri" w:eastAsia="Calibri" w:hAnsi="Calibri" w:cs="Times New Roman"/>
          <w:color w:val="000000"/>
          <w:lang w:eastAsia="nl-BE"/>
        </w:rPr>
        <w:t xml:space="preserve">Sommige </w:t>
      </w:r>
      <w:r w:rsidR="00572B58">
        <w:rPr>
          <w:rFonts w:ascii="Calibri" w:eastAsia="Calibri" w:hAnsi="Calibri" w:cs="Times New Roman"/>
          <w:color w:val="000000"/>
          <w:lang w:eastAsia="nl-BE"/>
        </w:rPr>
        <w:t>s</w:t>
      </w:r>
      <w:r w:rsidRPr="00312027">
        <w:rPr>
          <w:rFonts w:ascii="Calibri" w:eastAsia="Calibri" w:hAnsi="Calibri" w:cs="Times New Roman"/>
          <w:color w:val="000000"/>
          <w:lang w:eastAsia="nl-BE"/>
        </w:rPr>
        <w:t>teunpunten geven ook specifieke opleiding omtrent verduurzamen van overheidsgebouwen of andere relevante thema’s.</w:t>
      </w:r>
    </w:p>
    <w:p w:rsidR="006E2085" w:rsidRDefault="006E2085" w:rsidP="006E2085">
      <w:pPr>
        <w:spacing w:before="40" w:after="40" w:line="276" w:lineRule="auto"/>
        <w:contextualSpacing/>
        <w:rPr>
          <w:rFonts w:ascii="Calibri" w:eastAsia="Calibri" w:hAnsi="Calibri" w:cs="Times New Roman"/>
          <w:color w:val="000000"/>
          <w:lang w:eastAsia="nl-BE"/>
        </w:rPr>
      </w:pPr>
    </w:p>
    <w:p w:rsidR="00312027" w:rsidRPr="00312027" w:rsidRDefault="00312027" w:rsidP="00312027">
      <w:pPr>
        <w:spacing w:before="40" w:after="40" w:line="240" w:lineRule="auto"/>
        <w:rPr>
          <w:rFonts w:ascii="Calibri" w:eastAsia="Calibri" w:hAnsi="Calibri" w:cs="Times New Roman"/>
        </w:rPr>
      </w:pPr>
    </w:p>
    <w:p w:rsidR="00312027" w:rsidRPr="00E247EC" w:rsidRDefault="00312027" w:rsidP="00312027">
      <w:pPr>
        <w:numPr>
          <w:ilvl w:val="0"/>
          <w:numId w:val="9"/>
        </w:numPr>
        <w:spacing w:before="40" w:after="40" w:line="276" w:lineRule="auto"/>
        <w:contextualSpacing/>
        <w:rPr>
          <w:rFonts w:ascii="Calibri" w:eastAsia="Calibri" w:hAnsi="Calibri" w:cs="Times New Roman"/>
          <w:bCs/>
          <w:lang w:eastAsia="nl-BE"/>
        </w:rPr>
      </w:pPr>
      <w:r w:rsidRPr="00E247EC">
        <w:rPr>
          <w:rFonts w:ascii="Calibri" w:eastAsia="Calibri" w:hAnsi="Calibri" w:cs="Times New Roman"/>
          <w:bCs/>
          <w:lang w:eastAsia="nl-BE"/>
        </w:rPr>
        <w:t>Ondersteuning sensibilisering door gemeenten:</w:t>
      </w:r>
    </w:p>
    <w:p w:rsidR="006E2085" w:rsidRDefault="006E2085" w:rsidP="006E2085">
      <w:pPr>
        <w:spacing w:before="40" w:after="40" w:line="276" w:lineRule="auto"/>
        <w:ind w:left="360"/>
        <w:contextualSpacing/>
        <w:jc w:val="both"/>
        <w:rPr>
          <w:rFonts w:ascii="Calibri" w:eastAsia="Calibri" w:hAnsi="Calibri" w:cs="Times New Roman"/>
          <w:color w:val="000000"/>
          <w:lang w:eastAsia="nl-BE"/>
        </w:rPr>
      </w:pPr>
    </w:p>
    <w:p w:rsidR="00312027" w:rsidRPr="00312027" w:rsidRDefault="00312027" w:rsidP="003A2702">
      <w:pPr>
        <w:spacing w:before="40" w:after="40" w:line="276" w:lineRule="auto"/>
        <w:contextualSpacing/>
        <w:jc w:val="both"/>
        <w:rPr>
          <w:rFonts w:ascii="Calibri" w:eastAsia="Calibri" w:hAnsi="Calibri" w:cs="Times New Roman"/>
          <w:bCs/>
          <w:lang w:eastAsia="nl-BE"/>
        </w:rPr>
      </w:pPr>
      <w:r w:rsidRPr="00312027">
        <w:rPr>
          <w:rFonts w:ascii="Calibri" w:eastAsia="Calibri" w:hAnsi="Calibri" w:cs="Times New Roman"/>
          <w:color w:val="000000"/>
          <w:lang w:eastAsia="nl-BE"/>
        </w:rPr>
        <w:t xml:space="preserve">De gemeenten worden ook ondersteund bij het sensibiliseren van hun inwoners: infosessies en workshops, aanbieden van promotiemateriaal aan gemeenten (brochures, affiches, folders, beursstand, roll-up banners, postkaarten enzovoort ). Op vraag van gemeenten en intercommunales wordt </w:t>
      </w:r>
      <w:r w:rsidR="002A0237">
        <w:rPr>
          <w:rFonts w:ascii="Calibri" w:eastAsia="Calibri" w:hAnsi="Calibri" w:cs="Times New Roman"/>
          <w:color w:val="000000"/>
          <w:lang w:eastAsia="nl-BE"/>
        </w:rPr>
        <w:t xml:space="preserve">via de provinciebesturen </w:t>
      </w:r>
      <w:r w:rsidRPr="00312027">
        <w:rPr>
          <w:rFonts w:ascii="Calibri" w:eastAsia="Calibri" w:hAnsi="Calibri" w:cs="Times New Roman"/>
          <w:color w:val="000000"/>
          <w:lang w:eastAsia="nl-BE"/>
        </w:rPr>
        <w:t>ook de nodige bijstand geleverd voor de organisatie van samenaankoopacties (beglazing, zonnepanelen, zonneboilers, condensatieketels, dakisolatie, …)</w:t>
      </w:r>
    </w:p>
    <w:p w:rsidR="00312027" w:rsidRPr="00312027" w:rsidRDefault="00312027" w:rsidP="00312027">
      <w:pPr>
        <w:spacing w:after="0" w:line="276" w:lineRule="auto"/>
        <w:jc w:val="both"/>
        <w:rPr>
          <w:rFonts w:ascii="Calibri" w:eastAsia="Calibri" w:hAnsi="Calibri" w:cs="Times New Roman"/>
        </w:rPr>
      </w:pPr>
    </w:p>
    <w:p w:rsidR="00312027" w:rsidRPr="00E247EC" w:rsidRDefault="00312027" w:rsidP="00312027">
      <w:pPr>
        <w:numPr>
          <w:ilvl w:val="0"/>
          <w:numId w:val="9"/>
        </w:numPr>
        <w:spacing w:before="40" w:after="40" w:line="276" w:lineRule="auto"/>
        <w:contextualSpacing/>
        <w:rPr>
          <w:rFonts w:ascii="Calibri" w:eastAsia="Calibri" w:hAnsi="Calibri" w:cs="Times New Roman"/>
          <w:bCs/>
          <w:lang w:eastAsia="nl-BE"/>
        </w:rPr>
      </w:pPr>
      <w:r w:rsidRPr="00E247EC">
        <w:rPr>
          <w:rFonts w:ascii="Calibri" w:eastAsia="Calibri" w:hAnsi="Calibri" w:cs="Times New Roman"/>
          <w:bCs/>
          <w:lang w:eastAsia="nl-BE"/>
        </w:rPr>
        <w:t xml:space="preserve">Ondersteuning lokale overheden bij de ondertekening van het Covenant of Mayors: </w:t>
      </w:r>
    </w:p>
    <w:p w:rsidR="006E2085" w:rsidRDefault="006E2085" w:rsidP="006E2085">
      <w:pPr>
        <w:spacing w:before="40" w:after="40" w:line="276" w:lineRule="auto"/>
        <w:ind w:left="360"/>
        <w:contextualSpacing/>
        <w:jc w:val="both"/>
        <w:rPr>
          <w:rFonts w:ascii="Calibri" w:eastAsia="Calibri" w:hAnsi="Calibri" w:cs="Times New Roman"/>
          <w:color w:val="000000"/>
          <w:lang w:eastAsia="nl-BE"/>
        </w:rPr>
      </w:pPr>
    </w:p>
    <w:p w:rsidR="00312027" w:rsidRPr="007727A6" w:rsidRDefault="00312027" w:rsidP="003A2702">
      <w:pPr>
        <w:spacing w:before="40" w:after="40" w:line="276" w:lineRule="auto"/>
        <w:contextualSpacing/>
        <w:jc w:val="both"/>
        <w:rPr>
          <w:rFonts w:ascii="Calibri" w:eastAsia="Calibri" w:hAnsi="Calibri" w:cs="Times New Roman"/>
          <w:lang w:val="nl-NL"/>
        </w:rPr>
      </w:pPr>
      <w:r w:rsidRPr="007727A6">
        <w:rPr>
          <w:rFonts w:ascii="Calibri" w:eastAsia="Calibri" w:hAnsi="Calibri" w:cs="Times New Roman"/>
          <w:lang w:val="nl-NL"/>
        </w:rPr>
        <w:t>Heel wat gemeenten hebben de stap gezet voor het ondertekenen van het Covenant of Mayors. De provincies en/of de steunpunten voorzien voor deze gemeenten ondersteuning op diverse niveaus (zie hiervoor ook de fiches).</w:t>
      </w:r>
    </w:p>
    <w:p w:rsidR="00312027" w:rsidRPr="00312027" w:rsidRDefault="00312027" w:rsidP="00312027">
      <w:pPr>
        <w:spacing w:after="0" w:line="276" w:lineRule="auto"/>
        <w:jc w:val="both"/>
        <w:rPr>
          <w:rFonts w:ascii="Calibri" w:eastAsia="Calibri" w:hAnsi="Calibri" w:cs="Times New Roman"/>
        </w:rPr>
      </w:pPr>
    </w:p>
    <w:p w:rsidR="00312027" w:rsidRPr="00E247EC" w:rsidRDefault="00312027" w:rsidP="00D62F7A">
      <w:pPr>
        <w:numPr>
          <w:ilvl w:val="0"/>
          <w:numId w:val="9"/>
        </w:numPr>
        <w:spacing w:after="200" w:line="276" w:lineRule="auto"/>
        <w:contextualSpacing/>
        <w:jc w:val="both"/>
        <w:rPr>
          <w:rFonts w:ascii="Calibri" w:eastAsia="Calibri" w:hAnsi="Calibri" w:cs="Times New Roman"/>
          <w:bCs/>
          <w:lang w:eastAsia="nl-BE"/>
        </w:rPr>
      </w:pPr>
      <w:r w:rsidRPr="00E247EC">
        <w:rPr>
          <w:rFonts w:ascii="Calibri" w:eastAsia="Calibri" w:hAnsi="Calibri" w:cs="Times New Roman"/>
          <w:bCs/>
          <w:lang w:eastAsia="nl-BE"/>
        </w:rPr>
        <w:t xml:space="preserve">Sommige steunpunten voorzien ook ondersteuning van scholen, vzw’s,… </w:t>
      </w:r>
    </w:p>
    <w:p w:rsidR="00D92E16" w:rsidRPr="00E247EC" w:rsidRDefault="00D92E16" w:rsidP="00D92E16">
      <w:pPr>
        <w:spacing w:after="200" w:line="276" w:lineRule="auto"/>
        <w:ind w:left="720"/>
        <w:contextualSpacing/>
        <w:jc w:val="both"/>
        <w:rPr>
          <w:rFonts w:ascii="Calibri" w:eastAsia="Calibri" w:hAnsi="Calibri" w:cs="Times New Roman"/>
          <w:b/>
          <w:color w:val="000000"/>
          <w:sz w:val="24"/>
          <w:lang w:eastAsia="nl-BE"/>
        </w:rPr>
      </w:pPr>
    </w:p>
    <w:p w:rsidR="00312027" w:rsidRPr="00E247EC" w:rsidRDefault="00312027" w:rsidP="00CE7202">
      <w:pPr>
        <w:numPr>
          <w:ilvl w:val="0"/>
          <w:numId w:val="9"/>
        </w:numPr>
        <w:spacing w:after="200" w:line="276" w:lineRule="auto"/>
        <w:contextualSpacing/>
        <w:jc w:val="both"/>
        <w:rPr>
          <w:rFonts w:ascii="Calibri" w:eastAsia="Calibri" w:hAnsi="Calibri" w:cs="Times New Roman"/>
          <w:bCs/>
          <w:lang w:eastAsia="nl-BE"/>
        </w:rPr>
      </w:pPr>
      <w:r w:rsidRPr="00E247EC">
        <w:rPr>
          <w:rFonts w:ascii="Calibri" w:eastAsia="Calibri" w:hAnsi="Calibri" w:cs="Times New Roman"/>
          <w:bCs/>
          <w:lang w:eastAsia="nl-BE"/>
        </w:rPr>
        <w:t>Samenwerking met en ondersteuning van de bouwsector</w:t>
      </w:r>
      <w:r w:rsidR="00E247EC">
        <w:rPr>
          <w:rFonts w:ascii="Calibri" w:eastAsia="Calibri" w:hAnsi="Calibri" w:cs="Times New Roman"/>
          <w:bCs/>
          <w:lang w:eastAsia="nl-BE"/>
        </w:rPr>
        <w:t>:</w:t>
      </w:r>
    </w:p>
    <w:p w:rsidR="006E2085" w:rsidRDefault="006E2085" w:rsidP="006E2085">
      <w:pPr>
        <w:spacing w:before="40" w:after="40" w:line="276" w:lineRule="auto"/>
        <w:jc w:val="both"/>
        <w:rPr>
          <w:rFonts w:ascii="Calibri" w:eastAsia="Calibri" w:hAnsi="Calibri" w:cs="Times New Roman"/>
          <w:bCs/>
          <w:lang w:eastAsia="nl-BE"/>
        </w:rPr>
      </w:pPr>
    </w:p>
    <w:p w:rsidR="00312027" w:rsidRPr="00CE7202" w:rsidRDefault="00312027" w:rsidP="003A2702">
      <w:pPr>
        <w:spacing w:before="40" w:after="40" w:line="276" w:lineRule="auto"/>
        <w:jc w:val="both"/>
        <w:rPr>
          <w:rFonts w:ascii="Calibri" w:eastAsia="Calibri" w:hAnsi="Calibri" w:cs="Times New Roman"/>
          <w:lang w:val="nl-NL"/>
        </w:rPr>
      </w:pPr>
      <w:bookmarkStart w:id="1" w:name="_GoBack"/>
      <w:bookmarkEnd w:id="1"/>
      <w:r w:rsidRPr="00CE7202">
        <w:rPr>
          <w:rFonts w:ascii="Calibri" w:eastAsia="Calibri" w:hAnsi="Calibri" w:cs="Times New Roman"/>
          <w:lang w:val="nl-NL"/>
        </w:rPr>
        <w:t>De steunpunten organiseren voor de bouwsector excursies, workshops, opleiding</w:t>
      </w:r>
      <w:r w:rsidR="00CE7202" w:rsidRPr="00CE7202">
        <w:rPr>
          <w:rFonts w:ascii="Calibri" w:eastAsia="Calibri" w:hAnsi="Calibri" w:cs="Times New Roman"/>
          <w:lang w:val="nl-NL"/>
        </w:rPr>
        <w:t>en</w:t>
      </w:r>
      <w:r w:rsidRPr="00CE7202">
        <w:rPr>
          <w:rFonts w:ascii="Calibri" w:eastAsia="Calibri" w:hAnsi="Calibri" w:cs="Times New Roman"/>
          <w:lang w:val="nl-NL"/>
        </w:rPr>
        <w:t xml:space="preserve"> of infosessies. </w:t>
      </w:r>
      <w:r w:rsidR="00572B58" w:rsidRPr="00CE7202">
        <w:rPr>
          <w:rFonts w:ascii="Calibri" w:eastAsia="Calibri" w:hAnsi="Calibri" w:cs="Times New Roman"/>
          <w:lang w:val="nl-NL"/>
        </w:rPr>
        <w:t xml:space="preserve">Zij </w:t>
      </w:r>
      <w:r w:rsidRPr="00CE7202">
        <w:rPr>
          <w:rFonts w:ascii="Calibri" w:eastAsia="Calibri" w:hAnsi="Calibri" w:cs="Times New Roman"/>
          <w:lang w:val="nl-NL"/>
        </w:rPr>
        <w:t>doen dit zoveel mogelijk in samenwerking met andere opleidingsverstrekkers/bouwsector</w:t>
      </w:r>
      <w:r w:rsidR="00572B58" w:rsidRPr="00CE7202">
        <w:rPr>
          <w:rFonts w:ascii="Calibri" w:eastAsia="Calibri" w:hAnsi="Calibri" w:cs="Times New Roman"/>
          <w:lang w:val="nl-NL"/>
        </w:rPr>
        <w:t xml:space="preserve">. </w:t>
      </w:r>
      <w:r w:rsidR="003A2702" w:rsidRPr="00CE7202">
        <w:rPr>
          <w:rFonts w:ascii="Calibri" w:eastAsia="Calibri" w:hAnsi="Calibri" w:cs="Times New Roman"/>
          <w:lang w:val="nl-NL"/>
        </w:rPr>
        <w:t xml:space="preserve">Zij </w:t>
      </w:r>
      <w:r w:rsidRPr="00CE7202">
        <w:rPr>
          <w:rFonts w:ascii="Calibri" w:eastAsia="Calibri" w:hAnsi="Calibri" w:cs="Times New Roman"/>
          <w:lang w:val="nl-NL"/>
        </w:rPr>
        <w:t>proberen er op toe te zien dat</w:t>
      </w:r>
      <w:r w:rsidR="00572B58" w:rsidRPr="00CE7202">
        <w:rPr>
          <w:rFonts w:ascii="Calibri" w:eastAsia="Calibri" w:hAnsi="Calibri" w:cs="Times New Roman"/>
          <w:lang w:val="nl-NL"/>
        </w:rPr>
        <w:t xml:space="preserve"> ze de</w:t>
      </w:r>
      <w:r w:rsidRPr="00CE7202">
        <w:rPr>
          <w:rFonts w:ascii="Calibri" w:eastAsia="Calibri" w:hAnsi="Calibri" w:cs="Times New Roman"/>
          <w:lang w:val="nl-NL"/>
        </w:rPr>
        <w:t xml:space="preserve"> bestaande andere initiatieven niet beconcurreren</w:t>
      </w:r>
      <w:r w:rsidR="00572B58" w:rsidRPr="00CE7202">
        <w:rPr>
          <w:rFonts w:ascii="Calibri" w:eastAsia="Calibri" w:hAnsi="Calibri" w:cs="Times New Roman"/>
          <w:lang w:val="nl-NL"/>
        </w:rPr>
        <w:t xml:space="preserve">, </w:t>
      </w:r>
      <w:r w:rsidRPr="00CE7202">
        <w:rPr>
          <w:rFonts w:ascii="Calibri" w:eastAsia="Calibri" w:hAnsi="Calibri" w:cs="Times New Roman"/>
          <w:lang w:val="nl-NL"/>
        </w:rPr>
        <w:t xml:space="preserve">maar </w:t>
      </w:r>
      <w:r w:rsidR="00572B58" w:rsidRPr="00CE7202">
        <w:rPr>
          <w:rFonts w:ascii="Calibri" w:eastAsia="Calibri" w:hAnsi="Calibri" w:cs="Times New Roman"/>
          <w:lang w:val="nl-NL"/>
        </w:rPr>
        <w:t>wel aanvullen</w:t>
      </w:r>
      <w:r w:rsidRPr="00CE7202">
        <w:rPr>
          <w:rFonts w:ascii="Calibri" w:eastAsia="Calibri" w:hAnsi="Calibri" w:cs="Times New Roman"/>
          <w:lang w:val="nl-NL"/>
        </w:rPr>
        <w:t xml:space="preserve">. </w:t>
      </w:r>
    </w:p>
    <w:p w:rsidR="008631DB" w:rsidRPr="00CE7202" w:rsidRDefault="008631DB" w:rsidP="003A2702">
      <w:pPr>
        <w:rPr>
          <w:rFonts w:ascii="Calibri" w:eastAsia="Calibri" w:hAnsi="Calibri" w:cs="Times New Roman"/>
          <w:lang w:val="nl-NL"/>
        </w:rPr>
      </w:pPr>
    </w:p>
    <w:sectPr w:rsidR="008631DB" w:rsidRPr="00CE7202" w:rsidSect="00984EC6">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60C" w:rsidRDefault="0084660C" w:rsidP="00DB3E62">
      <w:pPr>
        <w:spacing w:after="0" w:line="240" w:lineRule="auto"/>
      </w:pPr>
      <w:r>
        <w:separator/>
      </w:r>
    </w:p>
  </w:endnote>
  <w:endnote w:type="continuationSeparator" w:id="0">
    <w:p w:rsidR="0084660C" w:rsidRDefault="0084660C" w:rsidP="00DB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258836"/>
      <w:docPartObj>
        <w:docPartGallery w:val="Page Numbers (Bottom of Page)"/>
        <w:docPartUnique/>
      </w:docPartObj>
    </w:sdtPr>
    <w:sdtContent>
      <w:p w:rsidR="00DB3E62" w:rsidRDefault="00B514EA">
        <w:pPr>
          <w:pStyle w:val="Voettekst"/>
          <w:jc w:val="right"/>
        </w:pPr>
        <w:r>
          <w:fldChar w:fldCharType="begin"/>
        </w:r>
        <w:r w:rsidR="00DB3E62">
          <w:instrText>PAGE   \* MERGEFORMAT</w:instrText>
        </w:r>
        <w:r>
          <w:fldChar w:fldCharType="separate"/>
        </w:r>
        <w:r w:rsidR="004F53DF" w:rsidRPr="004F53DF">
          <w:rPr>
            <w:noProof/>
            <w:lang w:val="nl-NL"/>
          </w:rPr>
          <w:t>1</w:t>
        </w:r>
        <w:r>
          <w:fldChar w:fldCharType="end"/>
        </w:r>
      </w:p>
    </w:sdtContent>
  </w:sdt>
  <w:p w:rsidR="00DB3E62" w:rsidRDefault="000778F9">
    <w:pPr>
      <w:pStyle w:val="Voettekst"/>
    </w:pPr>
    <w:r w:rsidRPr="000778F9">
      <w:t>20180730.BR.06</w:t>
    </w:r>
    <w:r w:rsidRPr="000778F9">
      <w:tab/>
      <w:t>VVP-advies betreffende het voorontwerp van besluit van de Vlaamse Regering inzake de wijziging van het Energiebesluit van 19 november 2010, wat betreft de energiehuizen.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60C" w:rsidRDefault="0084660C" w:rsidP="00DB3E62">
      <w:pPr>
        <w:spacing w:after="0" w:line="240" w:lineRule="auto"/>
      </w:pPr>
      <w:r>
        <w:separator/>
      </w:r>
    </w:p>
  </w:footnote>
  <w:footnote w:type="continuationSeparator" w:id="0">
    <w:p w:rsidR="0084660C" w:rsidRDefault="0084660C" w:rsidP="00DB3E62">
      <w:pPr>
        <w:spacing w:after="0" w:line="240" w:lineRule="auto"/>
      </w:pPr>
      <w:r>
        <w:continuationSeparator/>
      </w:r>
    </w:p>
  </w:footnote>
  <w:footnote w:id="1">
    <w:p w:rsidR="004F53DF" w:rsidRDefault="004F53DF">
      <w:pPr>
        <w:pStyle w:val="Voetnoottekst"/>
      </w:pPr>
      <w:r>
        <w:rPr>
          <w:rStyle w:val="Voetnootmarkering"/>
        </w:rPr>
        <w:footnoteRef/>
      </w:r>
      <w:r>
        <w:t xml:space="preserve"> </w:t>
      </w:r>
      <w:r w:rsidRPr="004F53DF">
        <w:t>https://www.wonenvlaanderen.be/lokaal-woonbeleid/hulpmiddel-subsidies-voor-intergemeentelijke-samenwerkingsprojecten-lokaal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67F" w:rsidRDefault="00C5267F" w:rsidP="002F039C">
    <w:pPr>
      <w:pStyle w:val="Koptekst"/>
      <w:tabs>
        <w:tab w:val="clear" w:pos="4536"/>
      </w:tabs>
    </w:pPr>
    <w:r w:rsidRPr="00860475">
      <w:rPr>
        <w:noProof/>
        <w:lang w:eastAsia="nl-BE"/>
      </w:rPr>
      <w:drawing>
        <wp:anchor distT="0" distB="0" distL="114300" distR="114300" simplePos="0" relativeHeight="251659264" behindDoc="0" locked="0" layoutInCell="1" allowOverlap="1">
          <wp:simplePos x="0" y="0"/>
          <wp:positionH relativeFrom="column">
            <wp:posOffset>-560614</wp:posOffset>
          </wp:positionH>
          <wp:positionV relativeFrom="paragraph">
            <wp:posOffset>-261892</wp:posOffset>
          </wp:positionV>
          <wp:extent cx="1816100" cy="527050"/>
          <wp:effectExtent l="0" t="0" r="0" b="6350"/>
          <wp:wrapNone/>
          <wp:docPr id="10" name="Afbeelding 10"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1"/>
                  <a:stretch>
                    <a:fillRect/>
                  </a:stretch>
                </pic:blipFill>
                <pic:spPr>
                  <a:xfrm>
                    <a:off x="0" y="0"/>
                    <a:ext cx="1816100" cy="527050"/>
                  </a:xfrm>
                  <a:prstGeom prst="rect">
                    <a:avLst/>
                  </a:prstGeom>
                </pic:spPr>
              </pic:pic>
            </a:graphicData>
          </a:graphic>
        </wp:anchor>
      </w:drawing>
    </w:r>
    <w:r w:rsidR="002F039C">
      <w:tab/>
      <w:t>30 juli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82A"/>
    <w:multiLevelType w:val="hybridMultilevel"/>
    <w:tmpl w:val="7286E3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57A47FD"/>
    <w:multiLevelType w:val="hybridMultilevel"/>
    <w:tmpl w:val="CB6EB8D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9F11DF8"/>
    <w:multiLevelType w:val="hybridMultilevel"/>
    <w:tmpl w:val="F4F26C5C"/>
    <w:lvl w:ilvl="0" w:tplc="C17408E4">
      <w:start w:val="1"/>
      <w:numFmt w:val="bullet"/>
      <w:lvlText w:val="-"/>
      <w:lvlJc w:val="left"/>
      <w:pPr>
        <w:ind w:left="1146" w:hanging="360"/>
      </w:pPr>
      <w:rPr>
        <w:rFonts w:ascii="Calibri" w:eastAsia="Calibri" w:hAnsi="Calibri" w:cs="Calibri" w:hint="default"/>
      </w:rPr>
    </w:lvl>
    <w:lvl w:ilvl="1" w:tplc="08130001">
      <w:start w:val="1"/>
      <w:numFmt w:val="bullet"/>
      <w:lvlText w:val=""/>
      <w:lvlJc w:val="left"/>
      <w:pPr>
        <w:ind w:left="1866" w:hanging="360"/>
      </w:pPr>
      <w:rPr>
        <w:rFonts w:ascii="Symbol" w:hAnsi="Symbol"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nsid w:val="122C66AE"/>
    <w:multiLevelType w:val="hybridMultilevel"/>
    <w:tmpl w:val="093239FE"/>
    <w:lvl w:ilvl="0" w:tplc="15A49302">
      <w:start w:val="1"/>
      <w:numFmt w:val="decimal"/>
      <w:lvlText w:val="%1."/>
      <w:lvlJc w:val="left"/>
      <w:pPr>
        <w:ind w:left="720" w:hanging="360"/>
      </w:pPr>
      <w:rPr>
        <w:sz w:val="24"/>
      </w:rPr>
    </w:lvl>
    <w:lvl w:ilvl="1" w:tplc="F748306A">
      <w:numFmt w:val="bullet"/>
      <w:lvlText w:val="-"/>
      <w:lvlJc w:val="left"/>
      <w:pPr>
        <w:ind w:left="1500" w:hanging="420"/>
      </w:pPr>
      <w:rPr>
        <w:rFonts w:ascii="Calibri" w:eastAsiaTheme="minorHAnsi" w:hAnsi="Calibri" w:cs="Calibri" w:hint="default"/>
        <w:color w:val="1F497D"/>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344494"/>
    <w:multiLevelType w:val="hybridMultilevel"/>
    <w:tmpl w:val="46FA3452"/>
    <w:lvl w:ilvl="0" w:tplc="00E497E6">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nsid w:val="1F473087"/>
    <w:multiLevelType w:val="hybridMultilevel"/>
    <w:tmpl w:val="E3943CD2"/>
    <w:lvl w:ilvl="0" w:tplc="08130001">
      <w:start w:val="1"/>
      <w:numFmt w:val="bullet"/>
      <w:lvlText w:val=""/>
      <w:lvlJc w:val="left"/>
      <w:pPr>
        <w:ind w:left="754" w:hanging="360"/>
      </w:pPr>
      <w:rPr>
        <w:rFonts w:ascii="Symbol" w:hAnsi="Symbol" w:hint="default"/>
      </w:rPr>
    </w:lvl>
    <w:lvl w:ilvl="1" w:tplc="08130003" w:tentative="1">
      <w:start w:val="1"/>
      <w:numFmt w:val="bullet"/>
      <w:lvlText w:val="o"/>
      <w:lvlJc w:val="left"/>
      <w:pPr>
        <w:ind w:left="1474" w:hanging="360"/>
      </w:pPr>
      <w:rPr>
        <w:rFonts w:ascii="Courier New" w:hAnsi="Courier New" w:cs="Courier New" w:hint="default"/>
      </w:rPr>
    </w:lvl>
    <w:lvl w:ilvl="2" w:tplc="08130005" w:tentative="1">
      <w:start w:val="1"/>
      <w:numFmt w:val="bullet"/>
      <w:lvlText w:val=""/>
      <w:lvlJc w:val="left"/>
      <w:pPr>
        <w:ind w:left="2194" w:hanging="360"/>
      </w:pPr>
      <w:rPr>
        <w:rFonts w:ascii="Wingdings" w:hAnsi="Wingdings" w:hint="default"/>
      </w:rPr>
    </w:lvl>
    <w:lvl w:ilvl="3" w:tplc="08130001" w:tentative="1">
      <w:start w:val="1"/>
      <w:numFmt w:val="bullet"/>
      <w:lvlText w:val=""/>
      <w:lvlJc w:val="left"/>
      <w:pPr>
        <w:ind w:left="2914" w:hanging="360"/>
      </w:pPr>
      <w:rPr>
        <w:rFonts w:ascii="Symbol" w:hAnsi="Symbol" w:hint="default"/>
      </w:rPr>
    </w:lvl>
    <w:lvl w:ilvl="4" w:tplc="08130003" w:tentative="1">
      <w:start w:val="1"/>
      <w:numFmt w:val="bullet"/>
      <w:lvlText w:val="o"/>
      <w:lvlJc w:val="left"/>
      <w:pPr>
        <w:ind w:left="3634" w:hanging="360"/>
      </w:pPr>
      <w:rPr>
        <w:rFonts w:ascii="Courier New" w:hAnsi="Courier New" w:cs="Courier New" w:hint="default"/>
      </w:rPr>
    </w:lvl>
    <w:lvl w:ilvl="5" w:tplc="08130005" w:tentative="1">
      <w:start w:val="1"/>
      <w:numFmt w:val="bullet"/>
      <w:lvlText w:val=""/>
      <w:lvlJc w:val="left"/>
      <w:pPr>
        <w:ind w:left="4354" w:hanging="360"/>
      </w:pPr>
      <w:rPr>
        <w:rFonts w:ascii="Wingdings" w:hAnsi="Wingdings" w:hint="default"/>
      </w:rPr>
    </w:lvl>
    <w:lvl w:ilvl="6" w:tplc="08130001" w:tentative="1">
      <w:start w:val="1"/>
      <w:numFmt w:val="bullet"/>
      <w:lvlText w:val=""/>
      <w:lvlJc w:val="left"/>
      <w:pPr>
        <w:ind w:left="5074" w:hanging="360"/>
      </w:pPr>
      <w:rPr>
        <w:rFonts w:ascii="Symbol" w:hAnsi="Symbol" w:hint="default"/>
      </w:rPr>
    </w:lvl>
    <w:lvl w:ilvl="7" w:tplc="08130003" w:tentative="1">
      <w:start w:val="1"/>
      <w:numFmt w:val="bullet"/>
      <w:lvlText w:val="o"/>
      <w:lvlJc w:val="left"/>
      <w:pPr>
        <w:ind w:left="5794" w:hanging="360"/>
      </w:pPr>
      <w:rPr>
        <w:rFonts w:ascii="Courier New" w:hAnsi="Courier New" w:cs="Courier New" w:hint="default"/>
      </w:rPr>
    </w:lvl>
    <w:lvl w:ilvl="8" w:tplc="08130005" w:tentative="1">
      <w:start w:val="1"/>
      <w:numFmt w:val="bullet"/>
      <w:lvlText w:val=""/>
      <w:lvlJc w:val="left"/>
      <w:pPr>
        <w:ind w:left="6514" w:hanging="360"/>
      </w:pPr>
      <w:rPr>
        <w:rFonts w:ascii="Wingdings" w:hAnsi="Wingdings" w:hint="default"/>
      </w:rPr>
    </w:lvl>
  </w:abstractNum>
  <w:abstractNum w:abstractNumId="6">
    <w:nsid w:val="255902DA"/>
    <w:multiLevelType w:val="hybridMultilevel"/>
    <w:tmpl w:val="0B82BB36"/>
    <w:lvl w:ilvl="0" w:tplc="00E497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AB22C1A"/>
    <w:multiLevelType w:val="hybridMultilevel"/>
    <w:tmpl w:val="93C0D2D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CFE4BFF"/>
    <w:multiLevelType w:val="hybridMultilevel"/>
    <w:tmpl w:val="82B6F1FC"/>
    <w:lvl w:ilvl="0" w:tplc="00E497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19D7192"/>
    <w:multiLevelType w:val="hybridMultilevel"/>
    <w:tmpl w:val="FA646622"/>
    <w:lvl w:ilvl="0" w:tplc="00E497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5982192"/>
    <w:multiLevelType w:val="hybridMultilevel"/>
    <w:tmpl w:val="157440A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4F2090F"/>
    <w:multiLevelType w:val="hybridMultilevel"/>
    <w:tmpl w:val="5CE8B5AE"/>
    <w:lvl w:ilvl="0" w:tplc="00E497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6E54495"/>
    <w:multiLevelType w:val="hybridMultilevel"/>
    <w:tmpl w:val="A76683CA"/>
    <w:lvl w:ilvl="0" w:tplc="00E497E6">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83C14D0"/>
    <w:multiLevelType w:val="hybridMultilevel"/>
    <w:tmpl w:val="2E8E8A2C"/>
    <w:lvl w:ilvl="0" w:tplc="00E497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8"/>
  </w:num>
  <w:num w:numId="7">
    <w:abstractNumId w:val="0"/>
  </w:num>
  <w:num w:numId="8">
    <w:abstractNumId w:val="1"/>
  </w:num>
  <w:num w:numId="9">
    <w:abstractNumId w:val="9"/>
  </w:num>
  <w:num w:numId="10">
    <w:abstractNumId w:val="6"/>
  </w:num>
  <w:num w:numId="11">
    <w:abstractNumId w:val="10"/>
  </w:num>
  <w:num w:numId="12">
    <w:abstractNumId w:val="1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3718F"/>
    <w:rsid w:val="00037146"/>
    <w:rsid w:val="0003718F"/>
    <w:rsid w:val="000778F9"/>
    <w:rsid w:val="000D1CF1"/>
    <w:rsid w:val="001268B8"/>
    <w:rsid w:val="002378D4"/>
    <w:rsid w:val="002827A8"/>
    <w:rsid w:val="00283F3E"/>
    <w:rsid w:val="002A0237"/>
    <w:rsid w:val="002C1E94"/>
    <w:rsid w:val="002E13C7"/>
    <w:rsid w:val="002F039C"/>
    <w:rsid w:val="00312027"/>
    <w:rsid w:val="003271BB"/>
    <w:rsid w:val="00370776"/>
    <w:rsid w:val="003A2702"/>
    <w:rsid w:val="003D50B2"/>
    <w:rsid w:val="00426931"/>
    <w:rsid w:val="004512B8"/>
    <w:rsid w:val="00484F1B"/>
    <w:rsid w:val="004D69FC"/>
    <w:rsid w:val="004F53DF"/>
    <w:rsid w:val="00560507"/>
    <w:rsid w:val="0056059D"/>
    <w:rsid w:val="00572B58"/>
    <w:rsid w:val="00596109"/>
    <w:rsid w:val="005C4981"/>
    <w:rsid w:val="0069054C"/>
    <w:rsid w:val="006D43EB"/>
    <w:rsid w:val="006E2085"/>
    <w:rsid w:val="00700F5E"/>
    <w:rsid w:val="007255B4"/>
    <w:rsid w:val="007727A6"/>
    <w:rsid w:val="007762BD"/>
    <w:rsid w:val="007C380D"/>
    <w:rsid w:val="00803D68"/>
    <w:rsid w:val="0084660C"/>
    <w:rsid w:val="008631DB"/>
    <w:rsid w:val="008B14F1"/>
    <w:rsid w:val="008F2E94"/>
    <w:rsid w:val="00984EC6"/>
    <w:rsid w:val="00A3727D"/>
    <w:rsid w:val="00A45803"/>
    <w:rsid w:val="00A51802"/>
    <w:rsid w:val="00A73173"/>
    <w:rsid w:val="00A731F2"/>
    <w:rsid w:val="00AD1226"/>
    <w:rsid w:val="00AE502C"/>
    <w:rsid w:val="00B13060"/>
    <w:rsid w:val="00B16484"/>
    <w:rsid w:val="00B23526"/>
    <w:rsid w:val="00B514EA"/>
    <w:rsid w:val="00B67527"/>
    <w:rsid w:val="00B84949"/>
    <w:rsid w:val="00B87E26"/>
    <w:rsid w:val="00BB154D"/>
    <w:rsid w:val="00BD0AEB"/>
    <w:rsid w:val="00BF2A6E"/>
    <w:rsid w:val="00C3551B"/>
    <w:rsid w:val="00C37DD6"/>
    <w:rsid w:val="00C5267F"/>
    <w:rsid w:val="00C66336"/>
    <w:rsid w:val="00C66DB5"/>
    <w:rsid w:val="00C90B12"/>
    <w:rsid w:val="00CC186D"/>
    <w:rsid w:val="00CD2BFE"/>
    <w:rsid w:val="00CE46DE"/>
    <w:rsid w:val="00CE7202"/>
    <w:rsid w:val="00D26069"/>
    <w:rsid w:val="00D43CD6"/>
    <w:rsid w:val="00D50E1A"/>
    <w:rsid w:val="00D92E16"/>
    <w:rsid w:val="00DB3E62"/>
    <w:rsid w:val="00E247EC"/>
    <w:rsid w:val="00E447C8"/>
    <w:rsid w:val="00E56B7B"/>
    <w:rsid w:val="00E82A7A"/>
    <w:rsid w:val="00EA7300"/>
    <w:rsid w:val="00EF544A"/>
    <w:rsid w:val="00F06096"/>
    <w:rsid w:val="00FA231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4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3F3E"/>
    <w:pPr>
      <w:spacing w:after="0" w:line="240" w:lineRule="auto"/>
      <w:ind w:left="720"/>
    </w:pPr>
    <w:rPr>
      <w:rFonts w:ascii="Calibri" w:hAnsi="Calibri" w:cs="Calibri"/>
      <w:lang w:eastAsia="nl-BE"/>
    </w:rPr>
  </w:style>
  <w:style w:type="paragraph" w:styleId="Koptekst">
    <w:name w:val="header"/>
    <w:basedOn w:val="Standaard"/>
    <w:link w:val="KoptekstChar"/>
    <w:uiPriority w:val="99"/>
    <w:unhideWhenUsed/>
    <w:rsid w:val="00DB3E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E62"/>
  </w:style>
  <w:style w:type="paragraph" w:styleId="Voettekst">
    <w:name w:val="footer"/>
    <w:basedOn w:val="Standaard"/>
    <w:link w:val="VoettekstChar"/>
    <w:uiPriority w:val="99"/>
    <w:unhideWhenUsed/>
    <w:rsid w:val="00DB3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E62"/>
  </w:style>
  <w:style w:type="paragraph" w:styleId="Ballontekst">
    <w:name w:val="Balloon Text"/>
    <w:basedOn w:val="Standaard"/>
    <w:link w:val="BallontekstChar"/>
    <w:uiPriority w:val="99"/>
    <w:semiHidden/>
    <w:unhideWhenUsed/>
    <w:rsid w:val="005605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0507"/>
    <w:rPr>
      <w:rFonts w:ascii="Segoe UI" w:hAnsi="Segoe UI" w:cs="Segoe UI"/>
      <w:sz w:val="18"/>
      <w:szCs w:val="18"/>
    </w:rPr>
  </w:style>
  <w:style w:type="character" w:styleId="Verwijzingopmerking">
    <w:name w:val="annotation reference"/>
    <w:basedOn w:val="Standaardalinea-lettertype"/>
    <w:uiPriority w:val="99"/>
    <w:semiHidden/>
    <w:unhideWhenUsed/>
    <w:rsid w:val="003D50B2"/>
    <w:rPr>
      <w:sz w:val="16"/>
      <w:szCs w:val="16"/>
    </w:rPr>
  </w:style>
  <w:style w:type="paragraph" w:styleId="Tekstopmerking">
    <w:name w:val="annotation text"/>
    <w:basedOn w:val="Standaard"/>
    <w:link w:val="TekstopmerkingChar"/>
    <w:uiPriority w:val="99"/>
    <w:semiHidden/>
    <w:unhideWhenUsed/>
    <w:rsid w:val="003D50B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50B2"/>
    <w:rPr>
      <w:sz w:val="20"/>
      <w:szCs w:val="20"/>
    </w:rPr>
  </w:style>
  <w:style w:type="paragraph" w:styleId="Onderwerpvanopmerking">
    <w:name w:val="annotation subject"/>
    <w:basedOn w:val="Tekstopmerking"/>
    <w:next w:val="Tekstopmerking"/>
    <w:link w:val="OnderwerpvanopmerkingChar"/>
    <w:uiPriority w:val="99"/>
    <w:semiHidden/>
    <w:unhideWhenUsed/>
    <w:rsid w:val="003D50B2"/>
    <w:rPr>
      <w:b/>
      <w:bCs/>
    </w:rPr>
  </w:style>
  <w:style w:type="character" w:customStyle="1" w:styleId="OnderwerpvanopmerkingChar">
    <w:name w:val="Onderwerp van opmerking Char"/>
    <w:basedOn w:val="TekstopmerkingChar"/>
    <w:link w:val="Onderwerpvanopmerking"/>
    <w:uiPriority w:val="99"/>
    <w:semiHidden/>
    <w:rsid w:val="003D50B2"/>
    <w:rPr>
      <w:b/>
      <w:bCs/>
      <w:sz w:val="20"/>
      <w:szCs w:val="20"/>
    </w:rPr>
  </w:style>
  <w:style w:type="paragraph" w:styleId="Voetnoottekst">
    <w:name w:val="footnote text"/>
    <w:basedOn w:val="Standaard"/>
    <w:link w:val="VoetnoottekstChar"/>
    <w:uiPriority w:val="99"/>
    <w:semiHidden/>
    <w:unhideWhenUsed/>
    <w:rsid w:val="004F53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53DF"/>
    <w:rPr>
      <w:sz w:val="20"/>
      <w:szCs w:val="20"/>
    </w:rPr>
  </w:style>
  <w:style w:type="character" w:styleId="Voetnootmarkering">
    <w:name w:val="footnote reference"/>
    <w:basedOn w:val="Standaardalinea-lettertype"/>
    <w:uiPriority w:val="99"/>
    <w:semiHidden/>
    <w:unhideWhenUsed/>
    <w:rsid w:val="004F53DF"/>
    <w:rPr>
      <w:vertAlign w:val="superscript"/>
    </w:rPr>
  </w:style>
</w:styles>
</file>

<file path=word/webSettings.xml><?xml version="1.0" encoding="utf-8"?>
<w:webSettings xmlns:r="http://schemas.openxmlformats.org/officeDocument/2006/relationships" xmlns:w="http://schemas.openxmlformats.org/wordprocessingml/2006/main">
  <w:divs>
    <w:div w:id="159852885">
      <w:bodyDiv w:val="1"/>
      <w:marLeft w:val="0"/>
      <w:marRight w:val="0"/>
      <w:marTop w:val="0"/>
      <w:marBottom w:val="0"/>
      <w:divBdr>
        <w:top w:val="none" w:sz="0" w:space="0" w:color="auto"/>
        <w:left w:val="none" w:sz="0" w:space="0" w:color="auto"/>
        <w:bottom w:val="none" w:sz="0" w:space="0" w:color="auto"/>
        <w:right w:val="none" w:sz="0" w:space="0" w:color="auto"/>
      </w:divBdr>
    </w:div>
    <w:div w:id="784344279">
      <w:bodyDiv w:val="1"/>
      <w:marLeft w:val="0"/>
      <w:marRight w:val="0"/>
      <w:marTop w:val="0"/>
      <w:marBottom w:val="0"/>
      <w:divBdr>
        <w:top w:val="none" w:sz="0" w:space="0" w:color="auto"/>
        <w:left w:val="none" w:sz="0" w:space="0" w:color="auto"/>
        <w:bottom w:val="none" w:sz="0" w:space="0" w:color="auto"/>
        <w:right w:val="none" w:sz="0" w:space="0" w:color="auto"/>
      </w:divBdr>
    </w:div>
    <w:div w:id="14091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C2F09-9839-4C7E-96C0-E6BFF3D9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2207</Words>
  <Characters>12142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Roobaert</dc:creator>
  <cp:lastModifiedBy>brentroobaert@icloud.com</cp:lastModifiedBy>
  <cp:revision>9</cp:revision>
  <cp:lastPrinted>2018-08-02T12:43:00Z</cp:lastPrinted>
  <dcterms:created xsi:type="dcterms:W3CDTF">2018-08-01T14:43:00Z</dcterms:created>
  <dcterms:modified xsi:type="dcterms:W3CDTF">2018-08-08T12:48:00Z</dcterms:modified>
</cp:coreProperties>
</file>