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A45" w:rsidRPr="00D90430" w:rsidRDefault="00CC7406" w:rsidP="00DC380C">
      <w:pPr>
        <w:pBdr>
          <w:top w:val="single" w:sz="4" w:space="1" w:color="auto"/>
          <w:left w:val="single" w:sz="4" w:space="4" w:color="auto"/>
          <w:bottom w:val="single" w:sz="4" w:space="1" w:color="auto"/>
          <w:right w:val="single" w:sz="4" w:space="4" w:color="auto"/>
        </w:pBdr>
        <w:jc w:val="center"/>
        <w:rPr>
          <w:rFonts w:ascii="Verdana" w:hAnsi="Verdana"/>
          <w:sz w:val="20"/>
          <w:szCs w:val="20"/>
        </w:rPr>
      </w:pPr>
      <w:bookmarkStart w:id="0" w:name="_GoBack"/>
      <w:bookmarkEnd w:id="0"/>
      <w:r w:rsidRPr="00D90430">
        <w:rPr>
          <w:rFonts w:ascii="Verdana" w:hAnsi="Verdana"/>
          <w:sz w:val="20"/>
          <w:szCs w:val="20"/>
        </w:rPr>
        <w:t>Standpuntbepaling voorontwerp basisbereikbaarheid.</w:t>
      </w:r>
    </w:p>
    <w:p w:rsidR="00CC7406" w:rsidRPr="00D90430" w:rsidRDefault="00CC7406" w:rsidP="004D205F">
      <w:pPr>
        <w:rPr>
          <w:rFonts w:ascii="Verdana" w:hAnsi="Verdana"/>
          <w:sz w:val="20"/>
          <w:szCs w:val="20"/>
        </w:rPr>
      </w:pPr>
    </w:p>
    <w:p w:rsidR="00630CB3" w:rsidRPr="00D90430" w:rsidRDefault="00630CB3" w:rsidP="004D205F">
      <w:pPr>
        <w:rPr>
          <w:rFonts w:ascii="Verdana" w:hAnsi="Verdana"/>
          <w:sz w:val="20"/>
          <w:szCs w:val="20"/>
        </w:rPr>
      </w:pPr>
      <w:r w:rsidRPr="00D90430">
        <w:rPr>
          <w:rFonts w:ascii="Verdana" w:hAnsi="Verdana"/>
          <w:sz w:val="20"/>
          <w:szCs w:val="20"/>
        </w:rPr>
        <w:t>Dit decreet vervangt het hu</w:t>
      </w:r>
      <w:r w:rsidR="006D20BC" w:rsidRPr="00D90430">
        <w:rPr>
          <w:rFonts w:ascii="Verdana" w:hAnsi="Verdana"/>
          <w:sz w:val="20"/>
          <w:szCs w:val="20"/>
        </w:rPr>
        <w:t>idi</w:t>
      </w:r>
      <w:r w:rsidRPr="00D90430">
        <w:rPr>
          <w:rFonts w:ascii="Verdana" w:hAnsi="Verdana"/>
          <w:sz w:val="20"/>
          <w:szCs w:val="20"/>
        </w:rPr>
        <w:t xml:space="preserve">ge decreet </w:t>
      </w:r>
      <w:proofErr w:type="spellStart"/>
      <w:r w:rsidRPr="00D90430">
        <w:rPr>
          <w:rFonts w:ascii="Verdana" w:hAnsi="Verdana"/>
          <w:sz w:val="20"/>
          <w:szCs w:val="20"/>
        </w:rPr>
        <w:t>mbt</w:t>
      </w:r>
      <w:proofErr w:type="spellEnd"/>
      <w:r w:rsidR="006D20BC" w:rsidRPr="00D90430">
        <w:rPr>
          <w:rFonts w:ascii="Verdana" w:hAnsi="Verdana"/>
          <w:sz w:val="20"/>
          <w:szCs w:val="20"/>
        </w:rPr>
        <w:t xml:space="preserve"> </w:t>
      </w:r>
      <w:r w:rsidRPr="00D90430">
        <w:rPr>
          <w:rFonts w:ascii="Verdana" w:hAnsi="Verdana"/>
          <w:sz w:val="20"/>
          <w:szCs w:val="20"/>
        </w:rPr>
        <w:t>mobilitei</w:t>
      </w:r>
      <w:r w:rsidR="006D20BC" w:rsidRPr="00D90430">
        <w:rPr>
          <w:rFonts w:ascii="Verdana" w:hAnsi="Verdana"/>
          <w:sz w:val="20"/>
          <w:szCs w:val="20"/>
        </w:rPr>
        <w:t>ts</w:t>
      </w:r>
      <w:r w:rsidRPr="00D90430">
        <w:rPr>
          <w:rFonts w:ascii="Verdana" w:hAnsi="Verdana"/>
          <w:sz w:val="20"/>
          <w:szCs w:val="20"/>
        </w:rPr>
        <w:t>beleid en het decreet betreffende de organi</w:t>
      </w:r>
      <w:r w:rsidR="006D20BC" w:rsidRPr="00D90430">
        <w:rPr>
          <w:rFonts w:ascii="Verdana" w:hAnsi="Verdana"/>
          <w:sz w:val="20"/>
          <w:szCs w:val="20"/>
        </w:rPr>
        <w:t>s</w:t>
      </w:r>
      <w:r w:rsidRPr="00D90430">
        <w:rPr>
          <w:rFonts w:ascii="Verdana" w:hAnsi="Verdana"/>
          <w:sz w:val="20"/>
          <w:szCs w:val="20"/>
        </w:rPr>
        <w:t>atie van het personenvervoer op de weg. De integratie van be</w:t>
      </w:r>
      <w:r w:rsidR="006D20BC" w:rsidRPr="00D90430">
        <w:rPr>
          <w:rFonts w:ascii="Verdana" w:hAnsi="Verdana"/>
          <w:sz w:val="20"/>
          <w:szCs w:val="20"/>
        </w:rPr>
        <w:t>ide</w:t>
      </w:r>
      <w:r w:rsidRPr="00D90430">
        <w:rPr>
          <w:rFonts w:ascii="Verdana" w:hAnsi="Verdana"/>
          <w:sz w:val="20"/>
          <w:szCs w:val="20"/>
        </w:rPr>
        <w:t xml:space="preserve"> decreten is een logische zaak. Maar de naamgeving van het decreet werkt misleidend. In feite zou de naam “Ontwerp van decreet betreffende het mobiliteitsbeleid” moeten zijn.</w:t>
      </w:r>
      <w:r w:rsidR="006D20BC" w:rsidRPr="00D90430">
        <w:rPr>
          <w:rFonts w:ascii="Verdana" w:hAnsi="Verdana"/>
          <w:sz w:val="20"/>
          <w:szCs w:val="20"/>
        </w:rPr>
        <w:t xml:space="preserve"> Het decreet gaat niet enkel over </w:t>
      </w:r>
      <w:r w:rsidR="006E3BD2" w:rsidRPr="00D90430">
        <w:rPr>
          <w:rFonts w:ascii="Verdana" w:hAnsi="Verdana"/>
          <w:sz w:val="20"/>
          <w:szCs w:val="20"/>
        </w:rPr>
        <w:t>basis</w:t>
      </w:r>
      <w:r w:rsidR="006D20BC" w:rsidRPr="00D90430">
        <w:rPr>
          <w:rFonts w:ascii="Verdana" w:hAnsi="Verdana"/>
          <w:sz w:val="20"/>
          <w:szCs w:val="20"/>
        </w:rPr>
        <w:t>bereikbaarheid</w:t>
      </w:r>
      <w:r w:rsidR="009C17AE" w:rsidRPr="00D90430">
        <w:rPr>
          <w:rFonts w:ascii="Verdana" w:hAnsi="Verdana"/>
          <w:sz w:val="20"/>
          <w:szCs w:val="20"/>
        </w:rPr>
        <w:t xml:space="preserve"> (met het openbaar vervoer)</w:t>
      </w:r>
      <w:r w:rsidR="006D20BC" w:rsidRPr="00D90430">
        <w:rPr>
          <w:rFonts w:ascii="Verdana" w:hAnsi="Verdana"/>
          <w:sz w:val="20"/>
          <w:szCs w:val="20"/>
        </w:rPr>
        <w:t>, maar ook over verkeersveiligheid, mobiliteitsplanning, subsidiëring van mobiliteitsprojecten, …</w:t>
      </w:r>
      <w:r w:rsidR="00CF1D63" w:rsidRPr="00D90430">
        <w:rPr>
          <w:rFonts w:ascii="Verdana" w:hAnsi="Verdana"/>
          <w:sz w:val="20"/>
          <w:szCs w:val="20"/>
        </w:rPr>
        <w:t xml:space="preserve"> Bereikbaarheid is maar één van de doelstellingen van een mobiliteitsbeleid.</w:t>
      </w:r>
    </w:p>
    <w:p w:rsidR="00630CB3" w:rsidRPr="00D90430" w:rsidRDefault="00630CB3" w:rsidP="004D205F">
      <w:pPr>
        <w:rPr>
          <w:rFonts w:ascii="Verdana" w:hAnsi="Verdana"/>
          <w:sz w:val="20"/>
          <w:szCs w:val="20"/>
        </w:rPr>
      </w:pPr>
    </w:p>
    <w:p w:rsidR="00971C27" w:rsidRPr="00D90430" w:rsidRDefault="007E0F30" w:rsidP="00971C27">
      <w:pPr>
        <w:pStyle w:val="Lijstalinea"/>
        <w:numPr>
          <w:ilvl w:val="0"/>
          <w:numId w:val="21"/>
        </w:numPr>
        <w:ind w:left="426" w:hanging="426"/>
        <w:rPr>
          <w:rFonts w:ascii="Verdana" w:hAnsi="Verdana"/>
          <w:b/>
          <w:sz w:val="20"/>
          <w:szCs w:val="20"/>
        </w:rPr>
      </w:pPr>
      <w:r>
        <w:rPr>
          <w:rFonts w:ascii="Verdana" w:hAnsi="Verdana"/>
          <w:b/>
          <w:sz w:val="20"/>
          <w:szCs w:val="20"/>
        </w:rPr>
        <w:t>W</w:t>
      </w:r>
      <w:r w:rsidR="00971C27" w:rsidRPr="00D90430">
        <w:rPr>
          <w:rFonts w:ascii="Verdana" w:hAnsi="Verdana"/>
          <w:b/>
          <w:sz w:val="20"/>
          <w:szCs w:val="20"/>
        </w:rPr>
        <w:t>ijzigingen t.o.v. de huidige decreten</w:t>
      </w:r>
    </w:p>
    <w:p w:rsidR="00971C27" w:rsidRDefault="00971C27" w:rsidP="004D205F">
      <w:pPr>
        <w:rPr>
          <w:rFonts w:ascii="Verdana" w:hAnsi="Verdana"/>
          <w:sz w:val="20"/>
          <w:szCs w:val="20"/>
        </w:rPr>
      </w:pPr>
    </w:p>
    <w:p w:rsidR="002915C6" w:rsidRPr="00D90430" w:rsidRDefault="008A4C64" w:rsidP="004D205F">
      <w:pPr>
        <w:rPr>
          <w:rFonts w:ascii="Verdana" w:hAnsi="Verdana"/>
          <w:sz w:val="20"/>
          <w:szCs w:val="20"/>
        </w:rPr>
      </w:pPr>
      <w:r w:rsidRPr="00D90430">
        <w:rPr>
          <w:rFonts w:ascii="Verdana" w:hAnsi="Verdana"/>
          <w:sz w:val="20"/>
          <w:szCs w:val="20"/>
        </w:rPr>
        <w:t xml:space="preserve">Het </w:t>
      </w:r>
      <w:r w:rsidR="002915C6" w:rsidRPr="00D90430">
        <w:rPr>
          <w:rFonts w:ascii="Verdana" w:hAnsi="Verdana"/>
          <w:sz w:val="20"/>
          <w:szCs w:val="20"/>
        </w:rPr>
        <w:t>voor</w:t>
      </w:r>
      <w:r w:rsidRPr="00D90430">
        <w:rPr>
          <w:rFonts w:ascii="Verdana" w:hAnsi="Verdana"/>
          <w:sz w:val="20"/>
          <w:szCs w:val="20"/>
        </w:rPr>
        <w:t xml:space="preserve">ontwerp van decreet heeft de verdienste om een antwoord te bieden op een aantal knelpunten </w:t>
      </w:r>
      <w:r w:rsidR="00994CFE" w:rsidRPr="00D90430">
        <w:rPr>
          <w:rFonts w:ascii="Verdana" w:hAnsi="Verdana"/>
          <w:sz w:val="20"/>
          <w:szCs w:val="20"/>
        </w:rPr>
        <w:t xml:space="preserve">waarop </w:t>
      </w:r>
      <w:r w:rsidR="009033A3" w:rsidRPr="00D90430">
        <w:rPr>
          <w:rFonts w:ascii="Verdana" w:hAnsi="Verdana"/>
          <w:sz w:val="20"/>
          <w:szCs w:val="20"/>
        </w:rPr>
        <w:t>de</w:t>
      </w:r>
      <w:r w:rsidR="00994CFE" w:rsidRPr="00D90430">
        <w:rPr>
          <w:rFonts w:ascii="Verdana" w:hAnsi="Verdana"/>
          <w:sz w:val="20"/>
          <w:szCs w:val="20"/>
        </w:rPr>
        <w:t xml:space="preserve"> huidige </w:t>
      </w:r>
      <w:r w:rsidR="009033A3" w:rsidRPr="00D90430">
        <w:rPr>
          <w:rFonts w:ascii="Verdana" w:hAnsi="Verdana"/>
          <w:sz w:val="20"/>
          <w:szCs w:val="20"/>
        </w:rPr>
        <w:t>regelgeving en het mobiliteits</w:t>
      </w:r>
      <w:r w:rsidR="00994CFE" w:rsidRPr="00D90430">
        <w:rPr>
          <w:rFonts w:ascii="Verdana" w:hAnsi="Verdana"/>
          <w:sz w:val="20"/>
          <w:szCs w:val="20"/>
        </w:rPr>
        <w:t>beleid botst:</w:t>
      </w:r>
    </w:p>
    <w:p w:rsidR="0098767B" w:rsidRPr="00D90430" w:rsidRDefault="006D20BC" w:rsidP="00731C2F">
      <w:pPr>
        <w:pStyle w:val="Lijstalinea"/>
        <w:numPr>
          <w:ilvl w:val="0"/>
          <w:numId w:val="8"/>
        </w:numPr>
        <w:rPr>
          <w:rFonts w:ascii="Verdana" w:hAnsi="Verdana"/>
          <w:sz w:val="20"/>
          <w:szCs w:val="20"/>
        </w:rPr>
      </w:pPr>
      <w:r w:rsidRPr="00D90430">
        <w:rPr>
          <w:rFonts w:ascii="Verdana" w:hAnsi="Verdana"/>
          <w:sz w:val="20"/>
          <w:szCs w:val="20"/>
        </w:rPr>
        <w:t>m</w:t>
      </w:r>
      <w:r w:rsidR="0098767B" w:rsidRPr="00D90430">
        <w:rPr>
          <w:rFonts w:ascii="Verdana" w:hAnsi="Verdana"/>
          <w:sz w:val="20"/>
          <w:szCs w:val="20"/>
        </w:rPr>
        <w:t>obiliteit wordt benaderd als een samenhangend geheel van verschillende vervoersmodi</w:t>
      </w:r>
      <w:r w:rsidR="00B434C9" w:rsidRPr="00D90430">
        <w:rPr>
          <w:rFonts w:ascii="Verdana" w:hAnsi="Verdana"/>
          <w:sz w:val="20"/>
          <w:szCs w:val="20"/>
        </w:rPr>
        <w:t xml:space="preserve"> waarbij de verschillende vervoersmodi elkaar kunnen versterken.</w:t>
      </w:r>
      <w:r w:rsidR="009C17AE" w:rsidRPr="00D90430">
        <w:rPr>
          <w:rFonts w:ascii="Verdana" w:hAnsi="Verdana"/>
          <w:sz w:val="20"/>
          <w:szCs w:val="20"/>
        </w:rPr>
        <w:t xml:space="preserve"> </w:t>
      </w:r>
    </w:p>
    <w:p w:rsidR="002915C6" w:rsidRPr="00D90430" w:rsidRDefault="00CC7406" w:rsidP="00731C2F">
      <w:pPr>
        <w:pStyle w:val="Lijstalinea"/>
        <w:numPr>
          <w:ilvl w:val="0"/>
          <w:numId w:val="8"/>
        </w:numPr>
        <w:rPr>
          <w:rFonts w:ascii="Verdana" w:hAnsi="Verdana"/>
          <w:sz w:val="20"/>
          <w:szCs w:val="20"/>
        </w:rPr>
      </w:pPr>
      <w:r w:rsidRPr="00D90430">
        <w:rPr>
          <w:rFonts w:ascii="Verdana" w:hAnsi="Verdana"/>
          <w:sz w:val="20"/>
          <w:szCs w:val="20"/>
        </w:rPr>
        <w:t>m</w:t>
      </w:r>
      <w:r w:rsidR="00901A45" w:rsidRPr="00D90430">
        <w:rPr>
          <w:rFonts w:ascii="Verdana" w:hAnsi="Verdana"/>
          <w:sz w:val="20"/>
          <w:szCs w:val="20"/>
        </w:rPr>
        <w:t>obilite</w:t>
      </w:r>
      <w:r w:rsidR="002915C6" w:rsidRPr="00D90430">
        <w:rPr>
          <w:rFonts w:ascii="Verdana" w:hAnsi="Verdana"/>
          <w:sz w:val="20"/>
          <w:szCs w:val="20"/>
        </w:rPr>
        <w:t>it</w:t>
      </w:r>
      <w:r w:rsidR="00901A45" w:rsidRPr="00D90430">
        <w:rPr>
          <w:rFonts w:ascii="Verdana" w:hAnsi="Verdana"/>
          <w:sz w:val="20"/>
          <w:szCs w:val="20"/>
        </w:rPr>
        <w:t xml:space="preserve"> stopt niet aan de gemeentegrenzen</w:t>
      </w:r>
      <w:r w:rsidR="00994CFE" w:rsidRPr="00D90430">
        <w:rPr>
          <w:rFonts w:ascii="Verdana" w:hAnsi="Verdana"/>
          <w:sz w:val="20"/>
          <w:szCs w:val="20"/>
        </w:rPr>
        <w:t xml:space="preserve"> en het is daarom een g</w:t>
      </w:r>
      <w:r w:rsidR="00DC380C" w:rsidRPr="00D90430">
        <w:rPr>
          <w:rFonts w:ascii="Verdana" w:hAnsi="Verdana"/>
          <w:sz w:val="20"/>
          <w:szCs w:val="20"/>
        </w:rPr>
        <w:t>oe</w:t>
      </w:r>
      <w:r w:rsidR="00994CFE" w:rsidRPr="00D90430">
        <w:rPr>
          <w:rFonts w:ascii="Verdana" w:hAnsi="Verdana"/>
          <w:sz w:val="20"/>
          <w:szCs w:val="20"/>
        </w:rPr>
        <w:t>de zaak dat gemeenten verleid worden om een mobiliteitsplan over de grenzen heen te gaan opmaken. Dat zou een kwaliteitssprong kunnen betekenen t</w:t>
      </w:r>
      <w:r w:rsidR="00325DDE" w:rsidRPr="00D90430">
        <w:rPr>
          <w:rFonts w:ascii="Verdana" w:hAnsi="Verdana"/>
          <w:sz w:val="20"/>
          <w:szCs w:val="20"/>
        </w:rPr>
        <w:t>.</w:t>
      </w:r>
      <w:r w:rsidR="00994CFE" w:rsidRPr="00D90430">
        <w:rPr>
          <w:rFonts w:ascii="Verdana" w:hAnsi="Verdana"/>
          <w:sz w:val="20"/>
          <w:szCs w:val="20"/>
        </w:rPr>
        <w:t>o</w:t>
      </w:r>
      <w:r w:rsidR="00325DDE" w:rsidRPr="00D90430">
        <w:rPr>
          <w:rFonts w:ascii="Verdana" w:hAnsi="Verdana"/>
          <w:sz w:val="20"/>
          <w:szCs w:val="20"/>
        </w:rPr>
        <w:t>.</w:t>
      </w:r>
      <w:r w:rsidR="00994CFE" w:rsidRPr="00D90430">
        <w:rPr>
          <w:rFonts w:ascii="Verdana" w:hAnsi="Verdana"/>
          <w:sz w:val="20"/>
          <w:szCs w:val="20"/>
        </w:rPr>
        <w:t>v</w:t>
      </w:r>
      <w:r w:rsidR="00325DDE" w:rsidRPr="00D90430">
        <w:rPr>
          <w:rFonts w:ascii="Verdana" w:hAnsi="Verdana"/>
          <w:sz w:val="20"/>
          <w:szCs w:val="20"/>
        </w:rPr>
        <w:t>.</w:t>
      </w:r>
      <w:r w:rsidR="00994CFE" w:rsidRPr="00D90430">
        <w:rPr>
          <w:rFonts w:ascii="Verdana" w:hAnsi="Verdana"/>
          <w:sz w:val="20"/>
          <w:szCs w:val="20"/>
        </w:rPr>
        <w:t xml:space="preserve"> het huidige beleid waarbij momenteel enkel de gemeenten op gemeentelijk niveau over een mobiliteitsplan beschikken.</w:t>
      </w:r>
    </w:p>
    <w:p w:rsidR="002915C6" w:rsidRPr="00D90430" w:rsidRDefault="00901A45" w:rsidP="00731C2F">
      <w:pPr>
        <w:pStyle w:val="Lijstalinea"/>
        <w:numPr>
          <w:ilvl w:val="0"/>
          <w:numId w:val="8"/>
        </w:numPr>
        <w:rPr>
          <w:rFonts w:ascii="Verdana" w:hAnsi="Verdana"/>
          <w:sz w:val="20"/>
          <w:szCs w:val="20"/>
        </w:rPr>
      </w:pPr>
      <w:r w:rsidRPr="00D90430">
        <w:rPr>
          <w:rFonts w:ascii="Verdana" w:hAnsi="Verdana"/>
          <w:sz w:val="20"/>
          <w:szCs w:val="20"/>
        </w:rPr>
        <w:t>lok</w:t>
      </w:r>
      <w:r w:rsidR="002915C6" w:rsidRPr="00D90430">
        <w:rPr>
          <w:rFonts w:ascii="Verdana" w:hAnsi="Verdana"/>
          <w:sz w:val="20"/>
          <w:szCs w:val="20"/>
        </w:rPr>
        <w:t>ale</w:t>
      </w:r>
      <w:r w:rsidRPr="00D90430">
        <w:rPr>
          <w:rFonts w:ascii="Verdana" w:hAnsi="Verdana"/>
          <w:sz w:val="20"/>
          <w:szCs w:val="20"/>
        </w:rPr>
        <w:t xml:space="preserve"> besturen </w:t>
      </w:r>
      <w:r w:rsidR="00DC380C" w:rsidRPr="00D90430">
        <w:rPr>
          <w:rFonts w:ascii="Verdana" w:hAnsi="Verdana"/>
          <w:sz w:val="20"/>
          <w:szCs w:val="20"/>
        </w:rPr>
        <w:t>krijgen</w:t>
      </w:r>
      <w:r w:rsidRPr="00D90430">
        <w:rPr>
          <w:rFonts w:ascii="Verdana" w:hAnsi="Verdana"/>
          <w:sz w:val="20"/>
          <w:szCs w:val="20"/>
        </w:rPr>
        <w:t xml:space="preserve"> meer ver</w:t>
      </w:r>
      <w:r w:rsidR="002915C6" w:rsidRPr="00D90430">
        <w:rPr>
          <w:rFonts w:ascii="Verdana" w:hAnsi="Verdana"/>
          <w:sz w:val="20"/>
          <w:szCs w:val="20"/>
        </w:rPr>
        <w:t>an</w:t>
      </w:r>
      <w:r w:rsidRPr="00D90430">
        <w:rPr>
          <w:rFonts w:ascii="Verdana" w:hAnsi="Verdana"/>
          <w:sz w:val="20"/>
          <w:szCs w:val="20"/>
        </w:rPr>
        <w:t xml:space="preserve">twoordelijkheid bij de organisatie van het openbaar vervoer. </w:t>
      </w:r>
      <w:r w:rsidR="00994CFE" w:rsidRPr="00D90430">
        <w:rPr>
          <w:rFonts w:ascii="Verdana" w:hAnsi="Verdana"/>
          <w:sz w:val="20"/>
          <w:szCs w:val="20"/>
        </w:rPr>
        <w:t>Niet alleen beantwoord</w:t>
      </w:r>
      <w:r w:rsidR="0083552E" w:rsidRPr="00D90430">
        <w:rPr>
          <w:rFonts w:ascii="Verdana" w:hAnsi="Verdana"/>
          <w:sz w:val="20"/>
          <w:szCs w:val="20"/>
        </w:rPr>
        <w:t>t</w:t>
      </w:r>
      <w:r w:rsidR="00994CFE" w:rsidRPr="00D90430">
        <w:rPr>
          <w:rFonts w:ascii="Verdana" w:hAnsi="Verdana"/>
          <w:sz w:val="20"/>
          <w:szCs w:val="20"/>
        </w:rPr>
        <w:t xml:space="preserve"> dat aan de verzuchtingen van lokale besturen. Het kan ook lokale besturen prikkelen om </w:t>
      </w:r>
      <w:proofErr w:type="spellStart"/>
      <w:r w:rsidR="006D20BC" w:rsidRPr="00D90430">
        <w:rPr>
          <w:rFonts w:ascii="Verdana" w:hAnsi="Verdana"/>
          <w:sz w:val="20"/>
          <w:szCs w:val="20"/>
        </w:rPr>
        <w:t>bvb</w:t>
      </w:r>
      <w:proofErr w:type="spellEnd"/>
      <w:r w:rsidR="00325DDE" w:rsidRPr="00D90430">
        <w:rPr>
          <w:rFonts w:ascii="Verdana" w:hAnsi="Verdana"/>
          <w:sz w:val="20"/>
          <w:szCs w:val="20"/>
        </w:rPr>
        <w:t>.</w:t>
      </w:r>
      <w:r w:rsidR="006D20BC" w:rsidRPr="00D90430">
        <w:rPr>
          <w:rFonts w:ascii="Verdana" w:hAnsi="Verdana"/>
          <w:sz w:val="20"/>
          <w:szCs w:val="20"/>
        </w:rPr>
        <w:t xml:space="preserve"> </w:t>
      </w:r>
      <w:r w:rsidR="00994CFE" w:rsidRPr="00D90430">
        <w:rPr>
          <w:rFonts w:ascii="Verdana" w:hAnsi="Verdana"/>
          <w:sz w:val="20"/>
          <w:szCs w:val="20"/>
        </w:rPr>
        <w:t>doorstromingsmaatregelen te nemen op de wegen die in hun beheer zijn.</w:t>
      </w:r>
    </w:p>
    <w:p w:rsidR="00901A45" w:rsidRPr="00D90430" w:rsidRDefault="006D20BC" w:rsidP="00731C2F">
      <w:pPr>
        <w:pStyle w:val="Lijstalinea"/>
        <w:numPr>
          <w:ilvl w:val="0"/>
          <w:numId w:val="8"/>
        </w:numPr>
        <w:rPr>
          <w:rFonts w:ascii="Verdana" w:hAnsi="Verdana"/>
          <w:sz w:val="20"/>
          <w:szCs w:val="20"/>
        </w:rPr>
      </w:pPr>
      <w:r w:rsidRPr="00D90430">
        <w:rPr>
          <w:rFonts w:ascii="Verdana" w:hAnsi="Verdana"/>
          <w:sz w:val="20"/>
          <w:szCs w:val="20"/>
        </w:rPr>
        <w:t xml:space="preserve">de </w:t>
      </w:r>
      <w:r w:rsidR="00901A45" w:rsidRPr="00D90430">
        <w:rPr>
          <w:rFonts w:ascii="Verdana" w:hAnsi="Verdana"/>
          <w:sz w:val="20"/>
          <w:szCs w:val="20"/>
        </w:rPr>
        <w:t xml:space="preserve">link </w:t>
      </w:r>
      <w:r w:rsidRPr="00D90430">
        <w:rPr>
          <w:rFonts w:ascii="Verdana" w:hAnsi="Verdana"/>
          <w:sz w:val="20"/>
          <w:szCs w:val="20"/>
        </w:rPr>
        <w:t>m</w:t>
      </w:r>
      <w:r w:rsidR="00901A45" w:rsidRPr="00D90430">
        <w:rPr>
          <w:rFonts w:ascii="Verdana" w:hAnsi="Verdana"/>
          <w:sz w:val="20"/>
          <w:szCs w:val="20"/>
        </w:rPr>
        <w:t>et het ruimtelijk beleid</w:t>
      </w:r>
      <w:r w:rsidRPr="00D90430">
        <w:rPr>
          <w:rFonts w:ascii="Verdana" w:hAnsi="Verdana"/>
          <w:sz w:val="20"/>
          <w:szCs w:val="20"/>
        </w:rPr>
        <w:t xml:space="preserve"> wordt gelegd</w:t>
      </w:r>
      <w:r w:rsidR="00901A45" w:rsidRPr="00D90430">
        <w:rPr>
          <w:rFonts w:ascii="Verdana" w:hAnsi="Verdana"/>
          <w:sz w:val="20"/>
          <w:szCs w:val="20"/>
        </w:rPr>
        <w:t>.</w:t>
      </w:r>
    </w:p>
    <w:p w:rsidR="002915C6" w:rsidRPr="00D90430" w:rsidRDefault="00CC7406" w:rsidP="00731C2F">
      <w:pPr>
        <w:pStyle w:val="Lijstalinea"/>
        <w:numPr>
          <w:ilvl w:val="0"/>
          <w:numId w:val="8"/>
        </w:numPr>
        <w:rPr>
          <w:rFonts w:ascii="Verdana" w:hAnsi="Verdana"/>
          <w:sz w:val="20"/>
          <w:szCs w:val="20"/>
        </w:rPr>
      </w:pPr>
      <w:r w:rsidRPr="00D90430">
        <w:rPr>
          <w:rFonts w:ascii="Verdana" w:hAnsi="Verdana"/>
          <w:sz w:val="20"/>
          <w:szCs w:val="20"/>
        </w:rPr>
        <w:t>d</w:t>
      </w:r>
      <w:r w:rsidR="002915C6" w:rsidRPr="00D90430">
        <w:rPr>
          <w:rFonts w:ascii="Verdana" w:hAnsi="Verdana"/>
          <w:sz w:val="20"/>
          <w:szCs w:val="20"/>
        </w:rPr>
        <w:t xml:space="preserve">e omschakeling van een aanbodbeleid naar een </w:t>
      </w:r>
      <w:r w:rsidR="002E33B6" w:rsidRPr="00D90430">
        <w:rPr>
          <w:rFonts w:ascii="Verdana" w:hAnsi="Verdana"/>
          <w:sz w:val="20"/>
          <w:szCs w:val="20"/>
        </w:rPr>
        <w:t xml:space="preserve">(meer) </w:t>
      </w:r>
      <w:proofErr w:type="spellStart"/>
      <w:r w:rsidR="002915C6" w:rsidRPr="00D90430">
        <w:rPr>
          <w:rFonts w:ascii="Verdana" w:hAnsi="Verdana"/>
          <w:sz w:val="20"/>
          <w:szCs w:val="20"/>
        </w:rPr>
        <w:t>vraaggestuurd</w:t>
      </w:r>
      <w:proofErr w:type="spellEnd"/>
      <w:r w:rsidR="002915C6" w:rsidRPr="00D90430">
        <w:rPr>
          <w:rFonts w:ascii="Verdana" w:hAnsi="Verdana"/>
          <w:sz w:val="20"/>
          <w:szCs w:val="20"/>
        </w:rPr>
        <w:t xml:space="preserve"> beleid</w:t>
      </w:r>
      <w:r w:rsidR="00994CFE" w:rsidRPr="00D90430">
        <w:rPr>
          <w:rFonts w:ascii="Verdana" w:hAnsi="Verdana"/>
          <w:sz w:val="20"/>
          <w:szCs w:val="20"/>
        </w:rPr>
        <w:t>. De middelen die worden besteed aan het openbaar vervoer kunnen inderdaad efficiënter en effectiever worden ingezet.</w:t>
      </w:r>
    </w:p>
    <w:p w:rsidR="00901A45" w:rsidRPr="00D90430" w:rsidRDefault="00901A45" w:rsidP="004D205F">
      <w:pPr>
        <w:rPr>
          <w:rFonts w:ascii="Verdana" w:hAnsi="Verdana"/>
          <w:sz w:val="20"/>
          <w:szCs w:val="20"/>
        </w:rPr>
      </w:pPr>
    </w:p>
    <w:p w:rsidR="008A4C64" w:rsidRPr="00D90430" w:rsidRDefault="00901A45" w:rsidP="004D205F">
      <w:pPr>
        <w:rPr>
          <w:rFonts w:ascii="Verdana" w:hAnsi="Verdana"/>
          <w:sz w:val="20"/>
          <w:szCs w:val="20"/>
        </w:rPr>
      </w:pPr>
      <w:r w:rsidRPr="00D90430">
        <w:rPr>
          <w:rFonts w:ascii="Verdana" w:hAnsi="Verdana"/>
          <w:sz w:val="20"/>
          <w:szCs w:val="20"/>
        </w:rPr>
        <w:t>Helaas</w:t>
      </w:r>
      <w:r w:rsidR="008A4C64" w:rsidRPr="00D90430">
        <w:rPr>
          <w:rFonts w:ascii="Verdana" w:hAnsi="Verdana"/>
          <w:sz w:val="20"/>
          <w:szCs w:val="20"/>
        </w:rPr>
        <w:t xml:space="preserve"> </w:t>
      </w:r>
      <w:r w:rsidR="00CC7406" w:rsidRPr="00D90430">
        <w:rPr>
          <w:rFonts w:ascii="Verdana" w:hAnsi="Verdana"/>
          <w:sz w:val="20"/>
          <w:szCs w:val="20"/>
        </w:rPr>
        <w:t>worden een aantal sterke punten van het huidige mobiliteits</w:t>
      </w:r>
      <w:r w:rsidR="002E33B6" w:rsidRPr="00D90430">
        <w:rPr>
          <w:rFonts w:ascii="Verdana" w:hAnsi="Verdana"/>
          <w:sz w:val="20"/>
          <w:szCs w:val="20"/>
        </w:rPr>
        <w:t>decreet</w:t>
      </w:r>
      <w:r w:rsidR="00CC7406" w:rsidRPr="00D90430">
        <w:rPr>
          <w:rFonts w:ascii="Verdana" w:hAnsi="Verdana"/>
          <w:sz w:val="20"/>
          <w:szCs w:val="20"/>
        </w:rPr>
        <w:t xml:space="preserve"> afgezwakt</w:t>
      </w:r>
      <w:r w:rsidR="00DC380C" w:rsidRPr="00D90430">
        <w:rPr>
          <w:rFonts w:ascii="Verdana" w:hAnsi="Verdana"/>
          <w:sz w:val="20"/>
          <w:szCs w:val="20"/>
        </w:rPr>
        <w:t>:</w:t>
      </w:r>
    </w:p>
    <w:p w:rsidR="00994CFE" w:rsidRPr="00D90430" w:rsidRDefault="00994CFE" w:rsidP="006A208D">
      <w:pPr>
        <w:pStyle w:val="Lijstalinea"/>
        <w:numPr>
          <w:ilvl w:val="0"/>
          <w:numId w:val="9"/>
        </w:numPr>
        <w:rPr>
          <w:rFonts w:ascii="Verdana" w:hAnsi="Verdana"/>
          <w:sz w:val="20"/>
          <w:szCs w:val="20"/>
        </w:rPr>
      </w:pPr>
      <w:r w:rsidRPr="00D90430">
        <w:rPr>
          <w:rFonts w:ascii="Verdana" w:hAnsi="Verdana"/>
          <w:sz w:val="20"/>
          <w:szCs w:val="20"/>
        </w:rPr>
        <w:t xml:space="preserve">lokale besturen </w:t>
      </w:r>
      <w:r w:rsidR="0083552E" w:rsidRPr="00D90430">
        <w:rPr>
          <w:rFonts w:ascii="Verdana" w:hAnsi="Verdana"/>
          <w:sz w:val="20"/>
          <w:szCs w:val="20"/>
        </w:rPr>
        <w:t>zij</w:t>
      </w:r>
      <w:r w:rsidRPr="00D90430">
        <w:rPr>
          <w:rFonts w:ascii="Verdana" w:hAnsi="Verdana"/>
          <w:sz w:val="20"/>
          <w:szCs w:val="20"/>
        </w:rPr>
        <w:t xml:space="preserve">n niet langer verplicht om </w:t>
      </w:r>
      <w:r w:rsidRPr="007E0F30">
        <w:rPr>
          <w:rFonts w:ascii="Verdana" w:hAnsi="Verdana"/>
          <w:b/>
          <w:sz w:val="20"/>
          <w:szCs w:val="20"/>
        </w:rPr>
        <w:t>een</w:t>
      </w:r>
      <w:r w:rsidR="007E0F30" w:rsidRPr="007E0F30">
        <w:rPr>
          <w:rFonts w:ascii="Verdana" w:hAnsi="Verdana"/>
          <w:b/>
          <w:sz w:val="20"/>
          <w:szCs w:val="20"/>
        </w:rPr>
        <w:t xml:space="preserve"> lokaal </w:t>
      </w:r>
      <w:r w:rsidRPr="007E0F30">
        <w:rPr>
          <w:rFonts w:ascii="Verdana" w:hAnsi="Verdana"/>
          <w:b/>
          <w:sz w:val="20"/>
          <w:szCs w:val="20"/>
        </w:rPr>
        <w:t>mobiliteitsplan</w:t>
      </w:r>
      <w:r w:rsidRPr="00D90430">
        <w:rPr>
          <w:rFonts w:ascii="Verdana" w:hAnsi="Verdana"/>
          <w:sz w:val="20"/>
          <w:szCs w:val="20"/>
        </w:rPr>
        <w:t xml:space="preserve"> op te maken. De afgelopen 20 jaar hebben de </w:t>
      </w:r>
      <w:r w:rsidR="0083552E" w:rsidRPr="00D90430">
        <w:rPr>
          <w:rFonts w:ascii="Verdana" w:hAnsi="Verdana"/>
          <w:sz w:val="20"/>
          <w:szCs w:val="20"/>
        </w:rPr>
        <w:t xml:space="preserve">lokale </w:t>
      </w:r>
      <w:r w:rsidRPr="00D90430">
        <w:rPr>
          <w:rFonts w:ascii="Verdana" w:hAnsi="Verdana"/>
          <w:sz w:val="20"/>
          <w:szCs w:val="20"/>
        </w:rPr>
        <w:t xml:space="preserve">mobiliteitsplannen voor een </w:t>
      </w:r>
      <w:r w:rsidR="0083552E" w:rsidRPr="00D90430">
        <w:rPr>
          <w:rFonts w:ascii="Verdana" w:hAnsi="Verdana"/>
          <w:sz w:val="20"/>
          <w:szCs w:val="20"/>
        </w:rPr>
        <w:t>zichtbare</w:t>
      </w:r>
      <w:r w:rsidRPr="00D90430">
        <w:rPr>
          <w:rFonts w:ascii="Verdana" w:hAnsi="Verdana"/>
          <w:sz w:val="20"/>
          <w:szCs w:val="20"/>
        </w:rPr>
        <w:t xml:space="preserve"> kwaliteitssprong in het mobiliteits</w:t>
      </w:r>
      <w:r w:rsidR="002401B2">
        <w:rPr>
          <w:rFonts w:ascii="Verdana" w:hAnsi="Verdana"/>
          <w:sz w:val="20"/>
          <w:szCs w:val="20"/>
        </w:rPr>
        <w:t>veld</w:t>
      </w:r>
      <w:r w:rsidRPr="00D90430">
        <w:rPr>
          <w:rFonts w:ascii="Verdana" w:hAnsi="Verdana"/>
          <w:sz w:val="20"/>
          <w:szCs w:val="20"/>
        </w:rPr>
        <w:t xml:space="preserve"> gezorgd</w:t>
      </w:r>
      <w:r w:rsidR="006D20BC" w:rsidRPr="00D90430">
        <w:rPr>
          <w:rFonts w:ascii="Verdana" w:hAnsi="Verdana"/>
          <w:sz w:val="20"/>
          <w:szCs w:val="20"/>
        </w:rPr>
        <w:t>.</w:t>
      </w:r>
      <w:r w:rsidRPr="00D90430">
        <w:rPr>
          <w:rFonts w:ascii="Verdana" w:hAnsi="Verdana"/>
          <w:sz w:val="20"/>
          <w:szCs w:val="20"/>
        </w:rPr>
        <w:t xml:space="preserve"> </w:t>
      </w:r>
      <w:r w:rsidR="0083552E" w:rsidRPr="00D90430">
        <w:rPr>
          <w:rFonts w:ascii="Verdana" w:hAnsi="Verdana"/>
          <w:sz w:val="20"/>
          <w:szCs w:val="20"/>
        </w:rPr>
        <w:t xml:space="preserve">Wanneer </w:t>
      </w:r>
      <w:r w:rsidR="006D20BC" w:rsidRPr="00D90430">
        <w:rPr>
          <w:rFonts w:ascii="Verdana" w:hAnsi="Verdana"/>
          <w:sz w:val="20"/>
          <w:szCs w:val="20"/>
        </w:rPr>
        <w:t xml:space="preserve">een groot deel van de thema’s in het regionaal mobiliteitsplan behandel worden, zal het lokale mobiliteitsplan sowieso minder omvangrijk worden. Maar </w:t>
      </w:r>
      <w:r w:rsidR="006A208D" w:rsidRPr="00D90430">
        <w:rPr>
          <w:rFonts w:ascii="Verdana" w:hAnsi="Verdana"/>
          <w:sz w:val="20"/>
          <w:szCs w:val="20"/>
        </w:rPr>
        <w:t>men moet de resultaten van een regionaal mobiliteitsplan niet overschatten</w:t>
      </w:r>
      <w:r w:rsidR="00971C27" w:rsidRPr="00D90430">
        <w:rPr>
          <w:rFonts w:ascii="Verdana" w:hAnsi="Verdana"/>
          <w:sz w:val="20"/>
          <w:szCs w:val="20"/>
        </w:rPr>
        <w:t>.</w:t>
      </w:r>
      <w:r w:rsidR="006A208D" w:rsidRPr="00D90430">
        <w:rPr>
          <w:rFonts w:ascii="Verdana" w:hAnsi="Verdana"/>
          <w:sz w:val="20"/>
          <w:szCs w:val="20"/>
        </w:rPr>
        <w:t xml:space="preserve"> </w:t>
      </w:r>
      <w:r w:rsidR="00971C27" w:rsidRPr="00D90430">
        <w:rPr>
          <w:rFonts w:ascii="Verdana" w:hAnsi="Verdana"/>
          <w:sz w:val="20"/>
          <w:szCs w:val="20"/>
        </w:rPr>
        <w:t xml:space="preserve">De </w:t>
      </w:r>
      <w:r w:rsidR="006A208D" w:rsidRPr="00D90430">
        <w:rPr>
          <w:rFonts w:ascii="Verdana" w:hAnsi="Verdana"/>
          <w:sz w:val="20"/>
          <w:szCs w:val="20"/>
        </w:rPr>
        <w:t xml:space="preserve">vervoersregio </w:t>
      </w:r>
      <w:r w:rsidR="00971C27" w:rsidRPr="00D90430">
        <w:rPr>
          <w:rFonts w:ascii="Verdana" w:hAnsi="Verdana"/>
          <w:sz w:val="20"/>
          <w:szCs w:val="20"/>
        </w:rPr>
        <w:t>zal geen u</w:t>
      </w:r>
      <w:r w:rsidR="006A208D" w:rsidRPr="00D90430">
        <w:rPr>
          <w:rFonts w:ascii="Verdana" w:hAnsi="Verdana"/>
          <w:sz w:val="20"/>
          <w:szCs w:val="20"/>
        </w:rPr>
        <w:t xml:space="preserve">itspraken doen over wijkcirculatie, sluipverkeer op landbouwwegen, lokaal functioneel fietsroutenetwerk, fietsenstallingen, trage wegen, … Het regionaal mobiliteitsplan is per definitie beperkt tot de hoofstructuren op regionaal niveau. Bijgevolg blijft het </w:t>
      </w:r>
      <w:r w:rsidR="006D20BC" w:rsidRPr="00D90430">
        <w:rPr>
          <w:rFonts w:ascii="Verdana" w:hAnsi="Verdana"/>
          <w:sz w:val="20"/>
          <w:szCs w:val="20"/>
        </w:rPr>
        <w:t xml:space="preserve">ook op lokaal niveau nodig om een visie te blijven ontwikkelen op </w:t>
      </w:r>
      <w:proofErr w:type="spellStart"/>
      <w:r w:rsidR="006D20BC" w:rsidRPr="00D90430">
        <w:rPr>
          <w:rFonts w:ascii="Verdana" w:hAnsi="Verdana"/>
          <w:sz w:val="20"/>
          <w:szCs w:val="20"/>
        </w:rPr>
        <w:t>bvb</w:t>
      </w:r>
      <w:proofErr w:type="spellEnd"/>
      <w:r w:rsidR="006D20BC" w:rsidRPr="00D90430">
        <w:rPr>
          <w:rFonts w:ascii="Verdana" w:hAnsi="Verdana"/>
          <w:sz w:val="20"/>
          <w:szCs w:val="20"/>
        </w:rPr>
        <w:t xml:space="preserve"> snelheidsregimes, </w:t>
      </w:r>
      <w:r w:rsidR="006A208D" w:rsidRPr="00D90430">
        <w:rPr>
          <w:rFonts w:ascii="Verdana" w:hAnsi="Verdana"/>
          <w:sz w:val="20"/>
          <w:szCs w:val="20"/>
        </w:rPr>
        <w:t xml:space="preserve">lokaal sluiperkeer, wijkcirculatie, </w:t>
      </w:r>
      <w:r w:rsidR="006D20BC" w:rsidRPr="00D90430">
        <w:rPr>
          <w:rFonts w:ascii="Verdana" w:hAnsi="Verdana"/>
          <w:sz w:val="20"/>
          <w:szCs w:val="20"/>
        </w:rPr>
        <w:t xml:space="preserve">parkeerbeleid, parkeernormen, lokale fietsroutes, </w:t>
      </w:r>
      <w:r w:rsidR="006A208D" w:rsidRPr="00D90430">
        <w:rPr>
          <w:rFonts w:ascii="Verdana" w:hAnsi="Verdana"/>
          <w:sz w:val="20"/>
          <w:szCs w:val="20"/>
        </w:rPr>
        <w:t>…</w:t>
      </w:r>
    </w:p>
    <w:p w:rsidR="00CF1D63" w:rsidRPr="00D90430" w:rsidRDefault="00CF1D63" w:rsidP="00961E51">
      <w:pPr>
        <w:pStyle w:val="Lijstalinea"/>
        <w:numPr>
          <w:ilvl w:val="0"/>
          <w:numId w:val="9"/>
        </w:numPr>
        <w:rPr>
          <w:rFonts w:ascii="Verdana" w:hAnsi="Verdana"/>
          <w:sz w:val="20"/>
          <w:szCs w:val="20"/>
        </w:rPr>
      </w:pPr>
      <w:r w:rsidRPr="00D90430">
        <w:rPr>
          <w:rFonts w:ascii="Verdana" w:hAnsi="Verdana"/>
          <w:sz w:val="20"/>
          <w:szCs w:val="20"/>
        </w:rPr>
        <w:t xml:space="preserve">de </w:t>
      </w:r>
      <w:r w:rsidRPr="007E0F30">
        <w:rPr>
          <w:rFonts w:ascii="Verdana" w:hAnsi="Verdana"/>
          <w:b/>
          <w:sz w:val="20"/>
          <w:szCs w:val="20"/>
        </w:rPr>
        <w:t>kwaliteitsbewaking</w:t>
      </w:r>
      <w:r w:rsidRPr="00D90430">
        <w:rPr>
          <w:rFonts w:ascii="Verdana" w:hAnsi="Verdana"/>
          <w:sz w:val="20"/>
          <w:szCs w:val="20"/>
        </w:rPr>
        <w:t xml:space="preserve"> bij mobiliteitsprojecten die nu wordt gegarandeerd door de kwaliteitsauditors verhuist naar een projectstuurgroep. Vraag is of die </w:t>
      </w:r>
      <w:r w:rsidR="002401B2">
        <w:rPr>
          <w:rFonts w:ascii="Verdana" w:hAnsi="Verdana"/>
          <w:sz w:val="20"/>
          <w:szCs w:val="20"/>
        </w:rPr>
        <w:t xml:space="preserve">erin zal slagen om </w:t>
      </w:r>
      <w:r w:rsidRPr="00D90430">
        <w:rPr>
          <w:rFonts w:ascii="Verdana" w:hAnsi="Verdana"/>
          <w:sz w:val="20"/>
          <w:szCs w:val="20"/>
        </w:rPr>
        <w:t>dezelfde kwaliteitsgarantie zal bieden</w:t>
      </w:r>
      <w:r w:rsidR="00971C27" w:rsidRPr="00D90430">
        <w:rPr>
          <w:rFonts w:ascii="Verdana" w:hAnsi="Verdana"/>
          <w:sz w:val="20"/>
          <w:szCs w:val="20"/>
        </w:rPr>
        <w:t>.</w:t>
      </w:r>
      <w:r w:rsidRPr="00D90430">
        <w:rPr>
          <w:rFonts w:ascii="Verdana" w:hAnsi="Verdana"/>
          <w:sz w:val="20"/>
          <w:szCs w:val="20"/>
        </w:rPr>
        <w:t xml:space="preserve"> Uit de afgelopen 20 jaar is toch gebleken dat de kwaliteitsbewaking door de auditor ervoor heeft gezorgd dat mobiliteitsprojecten aan een aantal minimumkwaliteitseisen beantwoorden en dat onafhankelijk van de locatie weggebruikers kunnen rekenen op dezelfde kwaliteit. De </w:t>
      </w:r>
      <w:r w:rsidR="002401B2">
        <w:rPr>
          <w:rFonts w:ascii="Verdana" w:hAnsi="Verdana"/>
          <w:sz w:val="20"/>
          <w:szCs w:val="20"/>
        </w:rPr>
        <w:t>memorie van toelichting (</w:t>
      </w:r>
      <w:proofErr w:type="spellStart"/>
      <w:r w:rsidR="002401B2">
        <w:rPr>
          <w:rFonts w:ascii="Verdana" w:hAnsi="Verdana"/>
          <w:sz w:val="20"/>
          <w:szCs w:val="20"/>
        </w:rPr>
        <w:t>MvT</w:t>
      </w:r>
      <w:proofErr w:type="spellEnd"/>
      <w:r w:rsidR="002401B2">
        <w:rPr>
          <w:rFonts w:ascii="Verdana" w:hAnsi="Verdana"/>
          <w:sz w:val="20"/>
          <w:szCs w:val="20"/>
        </w:rPr>
        <w:t>)</w:t>
      </w:r>
      <w:r w:rsidRPr="00D90430">
        <w:rPr>
          <w:rFonts w:ascii="Verdana" w:hAnsi="Verdana"/>
          <w:sz w:val="20"/>
          <w:szCs w:val="20"/>
        </w:rPr>
        <w:t xml:space="preserve"> haalt aan dat de huidige werking (GBC/RMC/K</w:t>
      </w:r>
      <w:r w:rsidR="002401B2">
        <w:rPr>
          <w:rFonts w:ascii="Verdana" w:hAnsi="Verdana"/>
          <w:sz w:val="20"/>
          <w:szCs w:val="20"/>
        </w:rPr>
        <w:t>waliteitsauditor (KA)</w:t>
      </w:r>
      <w:r w:rsidRPr="00D90430">
        <w:rPr>
          <w:rFonts w:ascii="Verdana" w:hAnsi="Verdana"/>
          <w:sz w:val="20"/>
          <w:szCs w:val="20"/>
        </w:rPr>
        <w:t>) te log zou zijn. Voor projecten die niet voldoende kwaliteitsvol waren zal dat inderdaad het geval zijn, maar die bewering strookt niet met onze ervaring op het terrein.</w:t>
      </w:r>
    </w:p>
    <w:p w:rsidR="008D55CF" w:rsidRPr="00D90430" w:rsidRDefault="0083552E" w:rsidP="008D55CF">
      <w:pPr>
        <w:pStyle w:val="Lijstalinea"/>
        <w:numPr>
          <w:ilvl w:val="0"/>
          <w:numId w:val="9"/>
        </w:numPr>
        <w:rPr>
          <w:rFonts w:ascii="Verdana" w:hAnsi="Verdana"/>
          <w:sz w:val="20"/>
          <w:szCs w:val="20"/>
        </w:rPr>
      </w:pPr>
      <w:r w:rsidRPr="00D90430">
        <w:rPr>
          <w:rFonts w:ascii="Verdana" w:hAnsi="Verdana"/>
          <w:sz w:val="20"/>
          <w:szCs w:val="20"/>
        </w:rPr>
        <w:t xml:space="preserve">het vorige decreet formuleerde </w:t>
      </w:r>
      <w:r w:rsidR="002401B2">
        <w:rPr>
          <w:rFonts w:ascii="Verdana" w:hAnsi="Verdana"/>
          <w:sz w:val="20"/>
          <w:szCs w:val="20"/>
        </w:rPr>
        <w:t xml:space="preserve">dat </w:t>
      </w:r>
      <w:r w:rsidR="002401B2" w:rsidRPr="00D90430">
        <w:rPr>
          <w:rFonts w:ascii="Verdana" w:hAnsi="Verdana"/>
          <w:sz w:val="20"/>
          <w:szCs w:val="20"/>
        </w:rPr>
        <w:t>iedereen de kans te geven om deel te nemen aan het maatschappelijk leven</w:t>
      </w:r>
      <w:r w:rsidR="002401B2">
        <w:rPr>
          <w:rFonts w:ascii="Verdana" w:hAnsi="Verdana"/>
          <w:sz w:val="20"/>
          <w:szCs w:val="20"/>
        </w:rPr>
        <w:t xml:space="preserve"> </w:t>
      </w:r>
      <w:r w:rsidRPr="00D90430">
        <w:rPr>
          <w:rFonts w:ascii="Verdana" w:hAnsi="Verdana"/>
          <w:sz w:val="20"/>
          <w:szCs w:val="20"/>
        </w:rPr>
        <w:t xml:space="preserve">een van de doelstellingen </w:t>
      </w:r>
      <w:r w:rsidR="002401B2">
        <w:rPr>
          <w:rFonts w:ascii="Verdana" w:hAnsi="Verdana"/>
          <w:sz w:val="20"/>
          <w:szCs w:val="20"/>
        </w:rPr>
        <w:t xml:space="preserve">is/was </w:t>
      </w:r>
      <w:r w:rsidRPr="00D90430">
        <w:rPr>
          <w:rFonts w:ascii="Verdana" w:hAnsi="Verdana"/>
          <w:sz w:val="20"/>
          <w:szCs w:val="20"/>
        </w:rPr>
        <w:t>van het mobiliteitsbeleid</w:t>
      </w:r>
      <w:r w:rsidR="002401B2">
        <w:rPr>
          <w:rFonts w:ascii="Verdana" w:hAnsi="Verdana"/>
          <w:sz w:val="20"/>
          <w:szCs w:val="20"/>
        </w:rPr>
        <w:t>.</w:t>
      </w:r>
      <w:r w:rsidRPr="00D90430">
        <w:rPr>
          <w:rFonts w:ascii="Verdana" w:hAnsi="Verdana"/>
          <w:sz w:val="20"/>
          <w:szCs w:val="20"/>
        </w:rPr>
        <w:t xml:space="preserve"> Di</w:t>
      </w:r>
      <w:r w:rsidR="00CF1D63" w:rsidRPr="00D90430">
        <w:rPr>
          <w:rFonts w:ascii="Verdana" w:hAnsi="Verdana"/>
          <w:sz w:val="20"/>
          <w:szCs w:val="20"/>
        </w:rPr>
        <w:t xml:space="preserve">e </w:t>
      </w:r>
      <w:r w:rsidR="00CF1D63" w:rsidRPr="007E0F30">
        <w:rPr>
          <w:rFonts w:ascii="Verdana" w:hAnsi="Verdana"/>
          <w:b/>
          <w:sz w:val="20"/>
          <w:szCs w:val="20"/>
        </w:rPr>
        <w:t>sociale doelstelling</w:t>
      </w:r>
      <w:r w:rsidR="00CF1D63" w:rsidRPr="00D90430">
        <w:rPr>
          <w:rFonts w:ascii="Verdana" w:hAnsi="Verdana"/>
          <w:sz w:val="20"/>
          <w:szCs w:val="20"/>
        </w:rPr>
        <w:t xml:space="preserve"> is</w:t>
      </w:r>
      <w:r w:rsidRPr="00D90430">
        <w:rPr>
          <w:rFonts w:ascii="Verdana" w:hAnsi="Verdana"/>
          <w:sz w:val="20"/>
          <w:szCs w:val="20"/>
        </w:rPr>
        <w:t xml:space="preserve"> verdwenen in het huidige voorontwerp van decreet dat de nadruk legt op de economische doelstellingen</w:t>
      </w:r>
      <w:r w:rsidR="008353CC" w:rsidRPr="00D90430">
        <w:rPr>
          <w:rFonts w:ascii="Verdana" w:hAnsi="Verdana"/>
          <w:sz w:val="20"/>
          <w:szCs w:val="20"/>
        </w:rPr>
        <w:t>.</w:t>
      </w:r>
    </w:p>
    <w:p w:rsidR="002E33B6" w:rsidRPr="00D90430" w:rsidRDefault="0083552E" w:rsidP="00D32A47">
      <w:pPr>
        <w:pStyle w:val="Lijstalinea"/>
        <w:numPr>
          <w:ilvl w:val="0"/>
          <w:numId w:val="9"/>
        </w:numPr>
        <w:rPr>
          <w:rFonts w:ascii="Verdana" w:hAnsi="Verdana"/>
          <w:sz w:val="20"/>
          <w:szCs w:val="20"/>
        </w:rPr>
      </w:pPr>
      <w:r w:rsidRPr="00D90430">
        <w:rPr>
          <w:rFonts w:ascii="Verdana" w:hAnsi="Verdana"/>
          <w:sz w:val="20"/>
          <w:szCs w:val="20"/>
        </w:rPr>
        <w:lastRenderedPageBreak/>
        <w:t xml:space="preserve">Het </w:t>
      </w:r>
      <w:r w:rsidRPr="007E0F30">
        <w:rPr>
          <w:rFonts w:ascii="Verdana" w:hAnsi="Verdana"/>
          <w:b/>
          <w:sz w:val="20"/>
          <w:szCs w:val="20"/>
        </w:rPr>
        <w:t>STOP-principe</w:t>
      </w:r>
      <w:r w:rsidRPr="00D90430">
        <w:rPr>
          <w:rFonts w:ascii="Verdana" w:hAnsi="Verdana"/>
          <w:sz w:val="20"/>
          <w:szCs w:val="20"/>
        </w:rPr>
        <w:t xml:space="preserve"> staat nog steeds ingeschreven in het decreet, maar </w:t>
      </w:r>
      <w:r w:rsidR="002E33B6" w:rsidRPr="00D90430">
        <w:rPr>
          <w:rFonts w:ascii="Verdana" w:hAnsi="Verdana"/>
          <w:sz w:val="20"/>
          <w:szCs w:val="20"/>
        </w:rPr>
        <w:t>toch in een afgezwakte vorm.</w:t>
      </w:r>
    </w:p>
    <w:p w:rsidR="008A4C64" w:rsidRPr="00D90430" w:rsidRDefault="008A4C64" w:rsidP="00731C2F">
      <w:pPr>
        <w:rPr>
          <w:rFonts w:ascii="Verdana" w:hAnsi="Verdana"/>
          <w:sz w:val="20"/>
          <w:szCs w:val="20"/>
        </w:rPr>
      </w:pPr>
    </w:p>
    <w:p w:rsidR="00971C27" w:rsidRPr="00D90430" w:rsidRDefault="00971C27" w:rsidP="00971C27">
      <w:pPr>
        <w:pStyle w:val="Lijstalinea"/>
        <w:numPr>
          <w:ilvl w:val="0"/>
          <w:numId w:val="21"/>
        </w:numPr>
        <w:ind w:left="426" w:hanging="426"/>
        <w:rPr>
          <w:rFonts w:ascii="Verdana" w:hAnsi="Verdana"/>
          <w:b/>
          <w:sz w:val="20"/>
          <w:szCs w:val="20"/>
        </w:rPr>
      </w:pPr>
      <w:r w:rsidRPr="00D90430">
        <w:rPr>
          <w:rFonts w:ascii="Verdana" w:hAnsi="Verdana"/>
          <w:b/>
          <w:sz w:val="20"/>
          <w:szCs w:val="20"/>
        </w:rPr>
        <w:t>Over de rol van de provincie in het nieuwe decreet</w:t>
      </w:r>
    </w:p>
    <w:p w:rsidR="00971C27" w:rsidRPr="00D90430" w:rsidRDefault="00971C27" w:rsidP="00731C2F">
      <w:pPr>
        <w:rPr>
          <w:rFonts w:ascii="Verdana" w:hAnsi="Verdana"/>
          <w:sz w:val="20"/>
          <w:szCs w:val="20"/>
        </w:rPr>
      </w:pPr>
    </w:p>
    <w:p w:rsidR="00B97149" w:rsidRDefault="00B97149" w:rsidP="00B97149">
      <w:pPr>
        <w:rPr>
          <w:rFonts w:ascii="Verdana" w:hAnsi="Verdana"/>
          <w:sz w:val="20"/>
          <w:szCs w:val="20"/>
        </w:rPr>
      </w:pPr>
      <w:r>
        <w:rPr>
          <w:rFonts w:ascii="Verdana" w:hAnsi="Verdana"/>
          <w:sz w:val="20"/>
          <w:szCs w:val="20"/>
        </w:rPr>
        <w:t>I</w:t>
      </w:r>
      <w:r w:rsidRPr="00D90430">
        <w:rPr>
          <w:rFonts w:ascii="Verdana" w:hAnsi="Verdana"/>
          <w:sz w:val="20"/>
          <w:szCs w:val="20"/>
        </w:rPr>
        <w:t xml:space="preserve">n het decreet </w:t>
      </w:r>
      <w:r>
        <w:rPr>
          <w:rFonts w:ascii="Verdana" w:hAnsi="Verdana"/>
          <w:sz w:val="20"/>
          <w:szCs w:val="20"/>
        </w:rPr>
        <w:t>is de r</w:t>
      </w:r>
      <w:r w:rsidR="00971C27" w:rsidRPr="00D90430">
        <w:rPr>
          <w:rFonts w:ascii="Verdana" w:hAnsi="Verdana"/>
          <w:sz w:val="20"/>
          <w:szCs w:val="20"/>
        </w:rPr>
        <w:t xml:space="preserve">ol die </w:t>
      </w:r>
      <w:r>
        <w:rPr>
          <w:rFonts w:ascii="Verdana" w:hAnsi="Verdana"/>
          <w:sz w:val="20"/>
          <w:szCs w:val="20"/>
        </w:rPr>
        <w:t>de provincies</w:t>
      </w:r>
      <w:r w:rsidR="00971C27" w:rsidRPr="00D90430">
        <w:rPr>
          <w:rFonts w:ascii="Verdana" w:hAnsi="Verdana"/>
          <w:sz w:val="20"/>
          <w:szCs w:val="20"/>
        </w:rPr>
        <w:t xml:space="preserve"> nog z</w:t>
      </w:r>
      <w:r>
        <w:rPr>
          <w:rFonts w:ascii="Verdana" w:hAnsi="Verdana"/>
          <w:sz w:val="20"/>
          <w:szCs w:val="20"/>
        </w:rPr>
        <w:t>ullen spelen</w:t>
      </w:r>
      <w:r w:rsidR="00971C27" w:rsidRPr="00D90430">
        <w:rPr>
          <w:rFonts w:ascii="Verdana" w:hAnsi="Verdana"/>
          <w:sz w:val="20"/>
          <w:szCs w:val="20"/>
        </w:rPr>
        <w:t xml:space="preserve"> op zijn minst onduidelijk te noemen. </w:t>
      </w:r>
      <w:r w:rsidR="002E33B6" w:rsidRPr="00D90430">
        <w:rPr>
          <w:rFonts w:ascii="Verdana" w:hAnsi="Verdana"/>
          <w:sz w:val="20"/>
          <w:szCs w:val="20"/>
        </w:rPr>
        <w:t xml:space="preserve">In het decreet en de </w:t>
      </w:r>
      <w:proofErr w:type="spellStart"/>
      <w:r w:rsidR="002E33B6" w:rsidRPr="00D90430">
        <w:rPr>
          <w:rFonts w:ascii="Verdana" w:hAnsi="Verdana"/>
          <w:sz w:val="20"/>
          <w:szCs w:val="20"/>
        </w:rPr>
        <w:t>MvT</w:t>
      </w:r>
      <w:proofErr w:type="spellEnd"/>
      <w:r w:rsidR="002E33B6" w:rsidRPr="00D90430">
        <w:rPr>
          <w:rFonts w:ascii="Verdana" w:hAnsi="Verdana"/>
          <w:sz w:val="20"/>
          <w:szCs w:val="20"/>
        </w:rPr>
        <w:t xml:space="preserve"> wordt het provinciaal beleidsniveau nauwelijks vermeld. Het is niet duidelijk of en welke taken de provincies inzake mobiliteit nog mogen/kunnen uitoefenen. </w:t>
      </w:r>
      <w:r w:rsidR="002401B2">
        <w:rPr>
          <w:rFonts w:ascii="Verdana" w:hAnsi="Verdana"/>
          <w:sz w:val="20"/>
          <w:szCs w:val="20"/>
        </w:rPr>
        <w:t>De rol van de provincie als aparte bestuurslaag wordt de laatste jaren gecontesteerd, maar met dit voorontwerp van decreet wordt aan sluipende besluitvorming gedaan waarmee de bevoegdheden en de rol van de provincies worden ingeperkt zonder dat daar vooraf een open debat over is gevoerd.</w:t>
      </w:r>
    </w:p>
    <w:p w:rsidR="00B97149" w:rsidRDefault="00B97149" w:rsidP="00B97149">
      <w:pPr>
        <w:rPr>
          <w:rFonts w:ascii="Verdana" w:hAnsi="Verdana"/>
          <w:sz w:val="20"/>
          <w:szCs w:val="20"/>
        </w:rPr>
      </w:pPr>
    </w:p>
    <w:p w:rsidR="00B97149" w:rsidRDefault="00B97149" w:rsidP="00B97149">
      <w:pPr>
        <w:ind w:left="66"/>
        <w:rPr>
          <w:rFonts w:ascii="Verdana" w:hAnsi="Verdana"/>
          <w:sz w:val="20"/>
          <w:szCs w:val="20"/>
        </w:rPr>
      </w:pPr>
      <w:r w:rsidRPr="00B97149">
        <w:rPr>
          <w:rFonts w:ascii="Verdana" w:hAnsi="Verdana"/>
          <w:sz w:val="20"/>
          <w:szCs w:val="20"/>
        </w:rPr>
        <w:t xml:space="preserve">Artikel 7§2 bepaalt uit welke leden de vervoerregioraad ten minste is samengesteld. Een vertegenwoordiger van de provincie is enkel vereist indien het grondgebied van de provincie gelijk valt met de afbakening van de vervoerregio. Dit artikel moet men dus samen lezen worden met artikel 6 over de indeling van de vervoerregio’s. De facto is dus enkel de provincie Limburg opgenomen in de </w:t>
      </w:r>
      <w:r w:rsidR="007E0F30">
        <w:rPr>
          <w:rFonts w:ascii="Verdana" w:hAnsi="Verdana"/>
          <w:sz w:val="20"/>
          <w:szCs w:val="20"/>
        </w:rPr>
        <w:t>v</w:t>
      </w:r>
      <w:r w:rsidRPr="00B97149">
        <w:rPr>
          <w:rFonts w:ascii="Verdana" w:hAnsi="Verdana"/>
          <w:sz w:val="20"/>
          <w:szCs w:val="20"/>
        </w:rPr>
        <w:t xml:space="preserve">ervoerregioraad van </w:t>
      </w:r>
      <w:r w:rsidR="007E0F30">
        <w:rPr>
          <w:rFonts w:ascii="Verdana" w:hAnsi="Verdana"/>
          <w:sz w:val="20"/>
          <w:szCs w:val="20"/>
        </w:rPr>
        <w:t xml:space="preserve">de vervoerregio </w:t>
      </w:r>
      <w:r w:rsidRPr="00B97149">
        <w:rPr>
          <w:rFonts w:ascii="Verdana" w:hAnsi="Verdana"/>
          <w:sz w:val="20"/>
          <w:szCs w:val="20"/>
        </w:rPr>
        <w:t xml:space="preserve">Limburg. </w:t>
      </w:r>
    </w:p>
    <w:p w:rsidR="00B97149" w:rsidRPr="00B97149" w:rsidRDefault="002401B2" w:rsidP="00B97149">
      <w:pPr>
        <w:pStyle w:val="Lijstalinea"/>
        <w:numPr>
          <w:ilvl w:val="0"/>
          <w:numId w:val="25"/>
        </w:numPr>
        <w:rPr>
          <w:rFonts w:ascii="Verdana" w:hAnsi="Verdana"/>
          <w:sz w:val="20"/>
          <w:szCs w:val="20"/>
        </w:rPr>
      </w:pPr>
      <w:r>
        <w:rPr>
          <w:rFonts w:ascii="Verdana" w:hAnsi="Verdana"/>
          <w:sz w:val="20"/>
          <w:szCs w:val="20"/>
        </w:rPr>
        <w:t>d</w:t>
      </w:r>
      <w:r w:rsidR="00B97149" w:rsidRPr="00B97149">
        <w:rPr>
          <w:rFonts w:ascii="Verdana" w:hAnsi="Verdana"/>
          <w:sz w:val="20"/>
          <w:szCs w:val="20"/>
        </w:rPr>
        <w:t xml:space="preserve">e </w:t>
      </w:r>
      <w:r w:rsidR="00B97149">
        <w:rPr>
          <w:rFonts w:ascii="Verdana" w:hAnsi="Verdana"/>
          <w:sz w:val="20"/>
          <w:szCs w:val="20"/>
        </w:rPr>
        <w:t>motivering waarom e</w:t>
      </w:r>
      <w:r w:rsidR="00B97149" w:rsidRPr="00B97149">
        <w:rPr>
          <w:rFonts w:ascii="Verdana" w:hAnsi="Verdana"/>
          <w:sz w:val="20"/>
          <w:szCs w:val="20"/>
        </w:rPr>
        <w:t>nkel in een VVR die samenvalt met een provincie het provinciebestuur deel uitmaakt van de VVR</w:t>
      </w:r>
      <w:r w:rsidR="00B97149">
        <w:rPr>
          <w:rFonts w:ascii="Verdana" w:hAnsi="Verdana"/>
          <w:sz w:val="20"/>
          <w:szCs w:val="20"/>
        </w:rPr>
        <w:t xml:space="preserve">, ontbreekt in de </w:t>
      </w:r>
      <w:proofErr w:type="spellStart"/>
      <w:r w:rsidR="00B97149">
        <w:rPr>
          <w:rFonts w:ascii="Verdana" w:hAnsi="Verdana"/>
          <w:sz w:val="20"/>
          <w:szCs w:val="20"/>
        </w:rPr>
        <w:t>MvT</w:t>
      </w:r>
      <w:proofErr w:type="spellEnd"/>
      <w:r w:rsidR="00B97149">
        <w:rPr>
          <w:rFonts w:ascii="Verdana" w:hAnsi="Verdana"/>
          <w:sz w:val="20"/>
          <w:szCs w:val="20"/>
        </w:rPr>
        <w:t xml:space="preserve">. </w:t>
      </w:r>
      <w:r w:rsidR="00B97149" w:rsidRPr="00B97149">
        <w:rPr>
          <w:rFonts w:ascii="Verdana" w:hAnsi="Verdana"/>
          <w:sz w:val="20"/>
          <w:szCs w:val="20"/>
        </w:rPr>
        <w:t xml:space="preserve">Alle provincies hebben </w:t>
      </w:r>
      <w:r w:rsidR="00B97149">
        <w:rPr>
          <w:rFonts w:ascii="Verdana" w:hAnsi="Verdana"/>
          <w:sz w:val="20"/>
          <w:szCs w:val="20"/>
        </w:rPr>
        <w:t>trouwens</w:t>
      </w:r>
      <w:r w:rsidR="00B97149" w:rsidRPr="00B97149">
        <w:rPr>
          <w:rFonts w:ascii="Verdana" w:hAnsi="Verdana"/>
          <w:sz w:val="20"/>
          <w:szCs w:val="20"/>
        </w:rPr>
        <w:t xml:space="preserve"> dezelfde bevoegdheden</w:t>
      </w:r>
      <w:r w:rsidR="00B97149">
        <w:rPr>
          <w:rFonts w:ascii="Verdana" w:hAnsi="Verdana"/>
          <w:sz w:val="20"/>
          <w:szCs w:val="20"/>
        </w:rPr>
        <w:t xml:space="preserve"> en vanuit die optiek is een ongelijke behandeling niet te verantwoorden</w:t>
      </w:r>
      <w:r w:rsidR="00B97149" w:rsidRPr="00B97149">
        <w:rPr>
          <w:rFonts w:ascii="Verdana" w:hAnsi="Verdana"/>
          <w:sz w:val="20"/>
          <w:szCs w:val="20"/>
        </w:rPr>
        <w:t>.</w:t>
      </w:r>
    </w:p>
    <w:p w:rsidR="00B97149" w:rsidRDefault="007E0F30" w:rsidP="00B97149">
      <w:pPr>
        <w:pStyle w:val="Lijstalinea"/>
        <w:numPr>
          <w:ilvl w:val="0"/>
          <w:numId w:val="23"/>
        </w:numPr>
        <w:rPr>
          <w:rFonts w:ascii="Verdana" w:hAnsi="Verdana"/>
          <w:sz w:val="20"/>
          <w:szCs w:val="20"/>
        </w:rPr>
      </w:pPr>
      <w:r>
        <w:rPr>
          <w:rFonts w:ascii="Verdana" w:hAnsi="Verdana"/>
          <w:sz w:val="20"/>
          <w:szCs w:val="20"/>
        </w:rPr>
        <w:t>w</w:t>
      </w:r>
      <w:r w:rsidR="00B97149" w:rsidRPr="00D90430">
        <w:rPr>
          <w:rFonts w:ascii="Verdana" w:hAnsi="Verdana"/>
          <w:sz w:val="20"/>
          <w:szCs w:val="20"/>
        </w:rPr>
        <w:t>at wordt bedoeld met “ten minste”: kunnen andere besturen of rechtspersonen afgezien van de opgesomde leden in het decreet toch nog deel uitmaken van de VVR? En zo ja, wat zijn dan de voorwaarden waaraan ze moeten voldoen, wie en hoe wordt er beslist er over de opname van extra leden in de Vervoerregio?</w:t>
      </w:r>
    </w:p>
    <w:p w:rsidR="00B97149" w:rsidRDefault="007E0F30" w:rsidP="00B97149">
      <w:pPr>
        <w:pStyle w:val="Lijstalinea"/>
        <w:numPr>
          <w:ilvl w:val="0"/>
          <w:numId w:val="23"/>
        </w:numPr>
        <w:rPr>
          <w:rFonts w:ascii="Verdana" w:hAnsi="Verdana"/>
          <w:sz w:val="20"/>
          <w:szCs w:val="20"/>
        </w:rPr>
      </w:pPr>
      <w:r>
        <w:rPr>
          <w:rFonts w:ascii="Verdana" w:hAnsi="Verdana"/>
          <w:sz w:val="20"/>
          <w:szCs w:val="20"/>
        </w:rPr>
        <w:t>a</w:t>
      </w:r>
      <w:r w:rsidR="00B97149" w:rsidRPr="00D90430">
        <w:rPr>
          <w:rFonts w:ascii="Verdana" w:hAnsi="Verdana"/>
          <w:sz w:val="20"/>
          <w:szCs w:val="20"/>
        </w:rPr>
        <w:t xml:space="preserve">rtikel 4 vermeldt de provincies als één van de actoren die mee de uitvoering van het mobiliteitsbeleid bepalen. Het is dan ook vreemd dat ze niet expliciet zijn opgenomen als lid van de vervoerregio. In de </w:t>
      </w:r>
      <w:proofErr w:type="spellStart"/>
      <w:r w:rsidR="00B97149" w:rsidRPr="00D90430">
        <w:rPr>
          <w:rFonts w:ascii="Verdana" w:hAnsi="Verdana"/>
          <w:sz w:val="20"/>
          <w:szCs w:val="20"/>
        </w:rPr>
        <w:t>MvT</w:t>
      </w:r>
      <w:proofErr w:type="spellEnd"/>
      <w:r w:rsidR="00B97149" w:rsidRPr="00D90430">
        <w:rPr>
          <w:rFonts w:ascii="Verdana" w:hAnsi="Verdana"/>
          <w:sz w:val="20"/>
          <w:szCs w:val="20"/>
        </w:rPr>
        <w:t xml:space="preserve"> staan de provincies overigens wel </w:t>
      </w:r>
      <w:proofErr w:type="spellStart"/>
      <w:r w:rsidR="00B97149" w:rsidRPr="00D90430">
        <w:rPr>
          <w:rFonts w:ascii="Verdana" w:hAnsi="Verdana"/>
          <w:sz w:val="20"/>
          <w:szCs w:val="20"/>
        </w:rPr>
        <w:t>opgelijst</w:t>
      </w:r>
      <w:proofErr w:type="spellEnd"/>
      <w:r w:rsidR="00B97149" w:rsidRPr="00D90430">
        <w:rPr>
          <w:rFonts w:ascii="Verdana" w:hAnsi="Verdana"/>
          <w:sz w:val="20"/>
          <w:szCs w:val="20"/>
        </w:rPr>
        <w:t xml:space="preserve"> als een bij de </w:t>
      </w:r>
      <w:r>
        <w:rPr>
          <w:rFonts w:ascii="Verdana" w:hAnsi="Verdana"/>
          <w:sz w:val="20"/>
          <w:szCs w:val="20"/>
        </w:rPr>
        <w:t>v</w:t>
      </w:r>
      <w:r w:rsidR="00B97149" w:rsidRPr="00D90430">
        <w:rPr>
          <w:rFonts w:ascii="Verdana" w:hAnsi="Verdana"/>
          <w:sz w:val="20"/>
          <w:szCs w:val="20"/>
        </w:rPr>
        <w:t>ervoerregio betrokken entiteit.</w:t>
      </w:r>
    </w:p>
    <w:p w:rsidR="00B97149" w:rsidRPr="00B97149" w:rsidRDefault="00B97149" w:rsidP="00B97149">
      <w:pPr>
        <w:pStyle w:val="Lijstalinea"/>
        <w:numPr>
          <w:ilvl w:val="0"/>
          <w:numId w:val="23"/>
        </w:numPr>
        <w:rPr>
          <w:rFonts w:ascii="Verdana" w:hAnsi="Verdana"/>
          <w:sz w:val="20"/>
          <w:szCs w:val="20"/>
        </w:rPr>
      </w:pPr>
      <w:r w:rsidRPr="00B97149">
        <w:rPr>
          <w:rFonts w:ascii="Verdana" w:hAnsi="Verdana"/>
          <w:sz w:val="20"/>
          <w:szCs w:val="20"/>
        </w:rPr>
        <w:t xml:space="preserve">De integratie van het mobiliteitsbeleid met het ruimtelijk beleid prijkt bovenaan de </w:t>
      </w:r>
      <w:proofErr w:type="spellStart"/>
      <w:r w:rsidRPr="00B97149">
        <w:rPr>
          <w:rFonts w:ascii="Verdana" w:hAnsi="Verdana"/>
          <w:sz w:val="20"/>
          <w:szCs w:val="20"/>
        </w:rPr>
        <w:t>MvT</w:t>
      </w:r>
      <w:proofErr w:type="spellEnd"/>
      <w:r w:rsidRPr="00B97149">
        <w:rPr>
          <w:rFonts w:ascii="Verdana" w:hAnsi="Verdana"/>
          <w:sz w:val="20"/>
          <w:szCs w:val="20"/>
        </w:rPr>
        <w:t>: “</w:t>
      </w:r>
      <w:r w:rsidRPr="00B97149">
        <w:rPr>
          <w:rFonts w:ascii="Verdana" w:hAnsi="Verdana"/>
          <w:i/>
          <w:sz w:val="20"/>
          <w:szCs w:val="20"/>
        </w:rPr>
        <w:t xml:space="preserve">Het voorliggende ontwerp van decreet beoogt een impactvolle implementatie van basisbereikbaarheid, waarbij het </w:t>
      </w:r>
      <w:proofErr w:type="spellStart"/>
      <w:r w:rsidRPr="00B97149">
        <w:rPr>
          <w:rFonts w:ascii="Verdana" w:hAnsi="Verdana"/>
          <w:i/>
          <w:sz w:val="20"/>
          <w:szCs w:val="20"/>
        </w:rPr>
        <w:t>vraaggestuurde</w:t>
      </w:r>
      <w:proofErr w:type="spellEnd"/>
      <w:r w:rsidRPr="00B97149">
        <w:rPr>
          <w:rFonts w:ascii="Verdana" w:hAnsi="Verdana"/>
          <w:i/>
          <w:sz w:val="20"/>
          <w:szCs w:val="20"/>
        </w:rPr>
        <w:t xml:space="preserve"> aspect, de gelaagde structuur en een globale mobiliteitsvisie kenmerkend zijn. Basisbereikbaarheid gaat hand in hand met een duurzaam ruimtelijk kader door middel van een geïntegreerde aanpak van vervoer, infrastructuur en ruimtelijke ontwikkelingen, op het gebied van zowel planvorming, financiering als exploitatie.</w:t>
      </w:r>
      <w:r w:rsidRPr="00B97149">
        <w:rPr>
          <w:rFonts w:ascii="Verdana" w:hAnsi="Verdana"/>
          <w:sz w:val="20"/>
          <w:szCs w:val="20"/>
        </w:rPr>
        <w:t xml:space="preserve">” Als dat echt de ambitie is, moeten de provincies opgenomen worden binnen de VVR. </w:t>
      </w:r>
      <w:proofErr w:type="spellStart"/>
      <w:r w:rsidRPr="00B97149">
        <w:rPr>
          <w:rFonts w:ascii="Verdana" w:hAnsi="Verdana"/>
          <w:sz w:val="20"/>
          <w:szCs w:val="20"/>
        </w:rPr>
        <w:t>Zoniet</w:t>
      </w:r>
      <w:proofErr w:type="spellEnd"/>
      <w:r w:rsidRPr="00B97149">
        <w:rPr>
          <w:rFonts w:ascii="Verdana" w:hAnsi="Verdana"/>
          <w:sz w:val="20"/>
          <w:szCs w:val="20"/>
        </w:rPr>
        <w:t xml:space="preserve"> kan er voor het ruimtelijk beleid geen sprake zijn van een geïntegreerde aanpak. Zeker omdat men een gelaagde structuur nastreeft en artikel §1 van artikel 7 stipuleert dat de ververregioraad een multidisciplinair en </w:t>
      </w:r>
      <w:proofErr w:type="spellStart"/>
      <w:r w:rsidRPr="00B97149">
        <w:rPr>
          <w:rFonts w:ascii="Verdana" w:hAnsi="Verdana"/>
          <w:sz w:val="20"/>
          <w:szCs w:val="20"/>
        </w:rPr>
        <w:t>beleidsdomeinoverschrijdend</w:t>
      </w:r>
      <w:proofErr w:type="spellEnd"/>
      <w:r w:rsidRPr="00B97149">
        <w:rPr>
          <w:rFonts w:ascii="Verdana" w:hAnsi="Verdana"/>
          <w:sz w:val="20"/>
          <w:szCs w:val="20"/>
        </w:rPr>
        <w:t xml:space="preserve"> overlegorgaan is. </w:t>
      </w:r>
    </w:p>
    <w:p w:rsidR="00B97149" w:rsidRPr="00B97149" w:rsidRDefault="007E0F30" w:rsidP="00B97149">
      <w:pPr>
        <w:pStyle w:val="Lijstalinea"/>
        <w:numPr>
          <w:ilvl w:val="0"/>
          <w:numId w:val="23"/>
        </w:numPr>
        <w:rPr>
          <w:rFonts w:ascii="Verdana" w:hAnsi="Verdana"/>
          <w:sz w:val="20"/>
          <w:szCs w:val="20"/>
        </w:rPr>
      </w:pPr>
      <w:r>
        <w:rPr>
          <w:rFonts w:ascii="Verdana" w:hAnsi="Verdana"/>
          <w:sz w:val="20"/>
          <w:szCs w:val="20"/>
        </w:rPr>
        <w:t>r</w:t>
      </w:r>
      <w:r w:rsidR="00B97149" w:rsidRPr="00B97149">
        <w:rPr>
          <w:rFonts w:ascii="Verdana" w:hAnsi="Verdana"/>
          <w:sz w:val="20"/>
          <w:szCs w:val="20"/>
        </w:rPr>
        <w:t xml:space="preserve">egionale mobiliteitsplannen kunnen schrappingen opleggen aan provinciale beleidsplannen die net invulling moeten geven aan de bovenlokale programmatie. In de </w:t>
      </w:r>
      <w:proofErr w:type="spellStart"/>
      <w:r w:rsidR="00B97149" w:rsidRPr="00B97149">
        <w:rPr>
          <w:rFonts w:ascii="Verdana" w:hAnsi="Verdana"/>
          <w:sz w:val="20"/>
          <w:szCs w:val="20"/>
        </w:rPr>
        <w:t>MvT</w:t>
      </w:r>
      <w:proofErr w:type="spellEnd"/>
      <w:r w:rsidR="00B97149" w:rsidRPr="00B97149">
        <w:rPr>
          <w:rFonts w:ascii="Verdana" w:hAnsi="Verdana"/>
          <w:sz w:val="20"/>
          <w:szCs w:val="20"/>
        </w:rPr>
        <w:t xml:space="preserve"> wordt niet ingegaan op het schrappen van strijdige passages in het provinciaal ruimtelijk beleidsplan, maar dit staat wel zo in het voorontwerp van decreet. Het is bovendien ook vreemd om vanuit een deelaspect mobiliteit schrappingen te kunnen doorvoeren in een provinciaal ruimtelijk beleidsplan.</w:t>
      </w:r>
    </w:p>
    <w:p w:rsidR="00B97149" w:rsidRPr="00B97149" w:rsidRDefault="007E0F30" w:rsidP="00B97149">
      <w:pPr>
        <w:pStyle w:val="Lijstalinea"/>
        <w:numPr>
          <w:ilvl w:val="0"/>
          <w:numId w:val="23"/>
        </w:numPr>
        <w:rPr>
          <w:rFonts w:ascii="Verdana" w:hAnsi="Verdana"/>
          <w:sz w:val="20"/>
          <w:szCs w:val="20"/>
        </w:rPr>
      </w:pPr>
      <w:r>
        <w:rPr>
          <w:rFonts w:ascii="Verdana" w:hAnsi="Verdana"/>
          <w:sz w:val="20"/>
          <w:szCs w:val="20"/>
        </w:rPr>
        <w:t>d</w:t>
      </w:r>
      <w:r w:rsidR="00B97149" w:rsidRPr="00B97149">
        <w:rPr>
          <w:rFonts w:ascii="Verdana" w:hAnsi="Verdana"/>
          <w:sz w:val="20"/>
          <w:szCs w:val="20"/>
        </w:rPr>
        <w:t xml:space="preserve">e </w:t>
      </w:r>
      <w:proofErr w:type="spellStart"/>
      <w:r w:rsidR="00B97149" w:rsidRPr="00B97149">
        <w:rPr>
          <w:rFonts w:ascii="Verdana" w:hAnsi="Verdana"/>
          <w:sz w:val="20"/>
          <w:szCs w:val="20"/>
        </w:rPr>
        <w:t>MvT</w:t>
      </w:r>
      <w:proofErr w:type="spellEnd"/>
      <w:r w:rsidR="00B97149" w:rsidRPr="00B97149">
        <w:rPr>
          <w:rFonts w:ascii="Verdana" w:hAnsi="Verdana"/>
          <w:sz w:val="20"/>
          <w:szCs w:val="20"/>
        </w:rPr>
        <w:t xml:space="preserve"> vermeldt dat de provincie een waardevolle partner kan zijn omwille van hun werking rond fietsbeleid en woon-werkverkeer; hierbij wordt toch uit het oog verloren dat de provincie ook een belangrijke taak heeft in het ruimtelijk beleid en dat alleen al omwille van deze reden de opname van de provincies in de VVR een evidentie is. </w:t>
      </w:r>
    </w:p>
    <w:p w:rsidR="00971C27" w:rsidRPr="00B97149" w:rsidRDefault="007E0F30" w:rsidP="00B97149">
      <w:pPr>
        <w:pStyle w:val="Lijstalinea"/>
        <w:numPr>
          <w:ilvl w:val="0"/>
          <w:numId w:val="23"/>
        </w:numPr>
        <w:rPr>
          <w:rFonts w:ascii="Verdana" w:hAnsi="Verdana"/>
          <w:sz w:val="20"/>
          <w:szCs w:val="20"/>
        </w:rPr>
      </w:pPr>
      <w:r>
        <w:rPr>
          <w:rFonts w:ascii="Verdana" w:hAnsi="Verdana"/>
          <w:sz w:val="20"/>
          <w:szCs w:val="20"/>
        </w:rPr>
        <w:t>t</w:t>
      </w:r>
      <w:r w:rsidR="00971C27" w:rsidRPr="00B97149">
        <w:rPr>
          <w:rFonts w:ascii="Verdana" w:hAnsi="Verdana"/>
          <w:sz w:val="20"/>
          <w:szCs w:val="20"/>
        </w:rPr>
        <w:t xml:space="preserve">ijdens de proefprojecten rond de vervoerregio’s maakten de provincies wel steeds deel uit van de vervoerregioraad. </w:t>
      </w:r>
      <w:r>
        <w:rPr>
          <w:rFonts w:ascii="Verdana" w:hAnsi="Verdana"/>
          <w:sz w:val="20"/>
          <w:szCs w:val="20"/>
        </w:rPr>
        <w:t xml:space="preserve">Uit de evaluatie van deze proefprojecten is </w:t>
      </w:r>
      <w:r>
        <w:rPr>
          <w:rFonts w:ascii="Verdana" w:hAnsi="Verdana"/>
          <w:sz w:val="20"/>
          <w:szCs w:val="20"/>
        </w:rPr>
        <w:lastRenderedPageBreak/>
        <w:t>alvast niet op te maken waarom de provincies geen deel uitmaken van de vervoerregio’s.</w:t>
      </w:r>
    </w:p>
    <w:p w:rsidR="00901A45" w:rsidRPr="00B97149" w:rsidRDefault="007E0F30" w:rsidP="00B97149">
      <w:pPr>
        <w:pStyle w:val="Lijstalinea"/>
        <w:numPr>
          <w:ilvl w:val="0"/>
          <w:numId w:val="23"/>
        </w:numPr>
        <w:rPr>
          <w:rFonts w:ascii="Verdana" w:hAnsi="Verdana"/>
          <w:sz w:val="20"/>
          <w:szCs w:val="20"/>
        </w:rPr>
      </w:pPr>
      <w:r>
        <w:rPr>
          <w:rFonts w:ascii="Verdana" w:hAnsi="Verdana"/>
          <w:sz w:val="20"/>
          <w:szCs w:val="20"/>
        </w:rPr>
        <w:t>w</w:t>
      </w:r>
      <w:r w:rsidR="00971C27" w:rsidRPr="00B97149">
        <w:rPr>
          <w:rFonts w:ascii="Verdana" w:hAnsi="Verdana"/>
          <w:sz w:val="20"/>
          <w:szCs w:val="20"/>
        </w:rPr>
        <w:t>at gebeurt er als in de toekomst een van de leden van de VVR Limburg  naar een andere VVR overstapt of een gemeente uit een andere provincie bij de VVR Limburg wil horen?</w:t>
      </w:r>
      <w:r w:rsidR="009C4CE5">
        <w:rPr>
          <w:rFonts w:ascii="Verdana" w:hAnsi="Verdana"/>
          <w:sz w:val="20"/>
          <w:szCs w:val="20"/>
        </w:rPr>
        <w:t xml:space="preserve"> Vervalt dan de facto het lidmaatschap van de provincie Limburg?</w:t>
      </w:r>
    </w:p>
    <w:p w:rsidR="00971C27" w:rsidRPr="00D90430" w:rsidRDefault="00971C27" w:rsidP="002E33B6">
      <w:pPr>
        <w:rPr>
          <w:rFonts w:ascii="Verdana" w:hAnsi="Verdana"/>
          <w:sz w:val="20"/>
          <w:szCs w:val="20"/>
        </w:rPr>
      </w:pPr>
    </w:p>
    <w:p w:rsidR="00971C27" w:rsidRPr="00D90430" w:rsidRDefault="00971C27" w:rsidP="00971C27">
      <w:pPr>
        <w:pStyle w:val="Lijstalinea"/>
        <w:numPr>
          <w:ilvl w:val="0"/>
          <w:numId w:val="21"/>
        </w:numPr>
        <w:ind w:left="426" w:hanging="426"/>
        <w:rPr>
          <w:rFonts w:ascii="Verdana" w:hAnsi="Verdana"/>
          <w:b/>
          <w:sz w:val="20"/>
          <w:szCs w:val="20"/>
        </w:rPr>
      </w:pPr>
      <w:r w:rsidRPr="00D90430">
        <w:rPr>
          <w:rFonts w:ascii="Verdana" w:hAnsi="Verdana"/>
          <w:b/>
          <w:sz w:val="20"/>
          <w:szCs w:val="20"/>
        </w:rPr>
        <w:t>Algemene bedenkingen</w:t>
      </w:r>
    </w:p>
    <w:p w:rsidR="00971C27" w:rsidRPr="00D90430" w:rsidRDefault="00971C27" w:rsidP="002E33B6">
      <w:pPr>
        <w:rPr>
          <w:rFonts w:ascii="Verdana" w:hAnsi="Verdana"/>
          <w:sz w:val="20"/>
          <w:szCs w:val="20"/>
        </w:rPr>
      </w:pPr>
    </w:p>
    <w:p w:rsidR="002915C6" w:rsidRDefault="007E0F30" w:rsidP="008A4C64">
      <w:pPr>
        <w:rPr>
          <w:rFonts w:ascii="Verdana" w:hAnsi="Verdana"/>
          <w:sz w:val="20"/>
          <w:szCs w:val="20"/>
        </w:rPr>
      </w:pPr>
      <w:r>
        <w:rPr>
          <w:rFonts w:ascii="Verdana" w:hAnsi="Verdana"/>
          <w:sz w:val="20"/>
          <w:szCs w:val="20"/>
        </w:rPr>
        <w:t>E</w:t>
      </w:r>
      <w:r w:rsidR="002915C6" w:rsidRPr="00D90430">
        <w:rPr>
          <w:rFonts w:ascii="Verdana" w:hAnsi="Verdana"/>
          <w:sz w:val="20"/>
          <w:szCs w:val="20"/>
        </w:rPr>
        <w:t xml:space="preserve">en aantal vragen die in </w:t>
      </w:r>
      <w:r w:rsidR="00CC7406" w:rsidRPr="00D90430">
        <w:rPr>
          <w:rFonts w:ascii="Verdana" w:hAnsi="Verdana"/>
          <w:sz w:val="20"/>
          <w:szCs w:val="20"/>
        </w:rPr>
        <w:t xml:space="preserve">de verschillende voortrajecten naar het decreet werden opgeworpen onvoldoende </w:t>
      </w:r>
      <w:r w:rsidR="002915C6" w:rsidRPr="00D90430">
        <w:rPr>
          <w:rFonts w:ascii="Verdana" w:hAnsi="Verdana"/>
          <w:sz w:val="20"/>
          <w:szCs w:val="20"/>
        </w:rPr>
        <w:t>beantwoord:</w:t>
      </w:r>
    </w:p>
    <w:p w:rsidR="00B97149" w:rsidRPr="00D90430" w:rsidRDefault="00B97149" w:rsidP="008A4C64">
      <w:pPr>
        <w:rPr>
          <w:rFonts w:ascii="Verdana" w:hAnsi="Verdana"/>
          <w:sz w:val="20"/>
          <w:szCs w:val="20"/>
        </w:rPr>
      </w:pPr>
    </w:p>
    <w:p w:rsidR="00971C27" w:rsidRPr="00D90430" w:rsidRDefault="00917399" w:rsidP="00971C27">
      <w:pPr>
        <w:pStyle w:val="Lijstalinea"/>
        <w:numPr>
          <w:ilvl w:val="0"/>
          <w:numId w:val="11"/>
        </w:numPr>
        <w:rPr>
          <w:rFonts w:ascii="Verdana" w:hAnsi="Verdana"/>
          <w:sz w:val="20"/>
          <w:szCs w:val="20"/>
        </w:rPr>
      </w:pPr>
      <w:r>
        <w:rPr>
          <w:rFonts w:ascii="Verdana" w:hAnsi="Verdana"/>
          <w:sz w:val="20"/>
          <w:szCs w:val="20"/>
        </w:rPr>
        <w:t>h</w:t>
      </w:r>
      <w:r w:rsidR="00971C27" w:rsidRPr="00D90430">
        <w:rPr>
          <w:rFonts w:ascii="Verdana" w:hAnsi="Verdana"/>
          <w:sz w:val="20"/>
          <w:szCs w:val="20"/>
        </w:rPr>
        <w:t xml:space="preserve">et decreet maakt ook niet duidelijk wat de </w:t>
      </w:r>
      <w:r w:rsidR="00971C27" w:rsidRPr="007E0F30">
        <w:rPr>
          <w:rFonts w:ascii="Verdana" w:hAnsi="Verdana"/>
          <w:b/>
          <w:sz w:val="20"/>
          <w:szCs w:val="20"/>
        </w:rPr>
        <w:t>verhouding is met bestaande regelgeving</w:t>
      </w:r>
      <w:r w:rsidR="00971C27" w:rsidRPr="00D90430">
        <w:rPr>
          <w:rFonts w:ascii="Verdana" w:hAnsi="Verdana"/>
          <w:sz w:val="20"/>
          <w:szCs w:val="20"/>
        </w:rPr>
        <w:t>:</w:t>
      </w:r>
    </w:p>
    <w:p w:rsidR="00971C27" w:rsidRPr="00D90430" w:rsidRDefault="00971C27" w:rsidP="00971C27">
      <w:pPr>
        <w:pStyle w:val="Lijstalinea"/>
        <w:numPr>
          <w:ilvl w:val="1"/>
          <w:numId w:val="11"/>
        </w:numPr>
        <w:rPr>
          <w:rFonts w:ascii="Verdana" w:hAnsi="Verdana"/>
          <w:sz w:val="20"/>
          <w:szCs w:val="20"/>
        </w:rPr>
      </w:pPr>
      <w:r w:rsidRPr="00D90430">
        <w:rPr>
          <w:rFonts w:ascii="Verdana" w:hAnsi="Verdana"/>
          <w:sz w:val="20"/>
          <w:szCs w:val="20"/>
        </w:rPr>
        <w:t>hoe worden fietsfondsdossiers in de toekomst behandeld?</w:t>
      </w:r>
    </w:p>
    <w:p w:rsidR="00971C27" w:rsidRDefault="00971C27" w:rsidP="00971C27">
      <w:pPr>
        <w:pStyle w:val="Lijstalinea"/>
        <w:numPr>
          <w:ilvl w:val="1"/>
          <w:numId w:val="11"/>
        </w:numPr>
        <w:rPr>
          <w:rFonts w:ascii="Verdana" w:hAnsi="Verdana"/>
          <w:sz w:val="20"/>
          <w:szCs w:val="20"/>
        </w:rPr>
      </w:pPr>
      <w:r w:rsidRPr="00D90430">
        <w:rPr>
          <w:rFonts w:ascii="Verdana" w:hAnsi="Verdana"/>
          <w:sz w:val="20"/>
          <w:szCs w:val="20"/>
        </w:rPr>
        <w:t>wat gebeurt er met de dossiers die momenteel door de OVC of de PCV worden behandeld?</w:t>
      </w:r>
    </w:p>
    <w:p w:rsidR="009C4CE5" w:rsidRPr="00D90430" w:rsidRDefault="009C4CE5" w:rsidP="00971C27">
      <w:pPr>
        <w:pStyle w:val="Lijstalinea"/>
        <w:numPr>
          <w:ilvl w:val="1"/>
          <w:numId w:val="11"/>
        </w:numPr>
        <w:rPr>
          <w:rFonts w:ascii="Verdana" w:hAnsi="Verdana"/>
          <w:sz w:val="20"/>
          <w:szCs w:val="20"/>
        </w:rPr>
      </w:pPr>
    </w:p>
    <w:p w:rsidR="00B97149" w:rsidRPr="00D90430" w:rsidRDefault="00917399" w:rsidP="00B97149">
      <w:pPr>
        <w:pStyle w:val="Lijstalinea"/>
        <w:numPr>
          <w:ilvl w:val="0"/>
          <w:numId w:val="11"/>
        </w:numPr>
        <w:rPr>
          <w:rFonts w:ascii="Verdana" w:hAnsi="Verdana"/>
          <w:sz w:val="20"/>
          <w:szCs w:val="20"/>
        </w:rPr>
      </w:pPr>
      <w:r>
        <w:rPr>
          <w:rFonts w:ascii="Verdana" w:hAnsi="Verdana"/>
          <w:sz w:val="20"/>
          <w:szCs w:val="20"/>
        </w:rPr>
        <w:t>h</w:t>
      </w:r>
      <w:r w:rsidR="00B97149" w:rsidRPr="00D90430">
        <w:rPr>
          <w:rFonts w:ascii="Verdana" w:hAnsi="Verdana"/>
          <w:sz w:val="20"/>
          <w:szCs w:val="20"/>
        </w:rPr>
        <w:t xml:space="preserve">et decreet schuift vaak </w:t>
      </w:r>
      <w:r w:rsidR="00B97149" w:rsidRPr="007E0F30">
        <w:rPr>
          <w:rFonts w:ascii="Verdana" w:hAnsi="Verdana"/>
          <w:b/>
          <w:sz w:val="20"/>
          <w:szCs w:val="20"/>
        </w:rPr>
        <w:t>beslissingen door naar het niveau van de Vlaamse regering</w:t>
      </w:r>
      <w:r w:rsidR="00B97149" w:rsidRPr="00D90430">
        <w:rPr>
          <w:rFonts w:ascii="Verdana" w:hAnsi="Verdana"/>
          <w:sz w:val="20"/>
          <w:szCs w:val="20"/>
        </w:rPr>
        <w:t>:</w:t>
      </w:r>
    </w:p>
    <w:p w:rsidR="00B97149" w:rsidRPr="00D90430" w:rsidRDefault="00B97149" w:rsidP="00B97149">
      <w:pPr>
        <w:pStyle w:val="Lijstalinea"/>
        <w:numPr>
          <w:ilvl w:val="1"/>
          <w:numId w:val="11"/>
        </w:numPr>
        <w:rPr>
          <w:rFonts w:ascii="Verdana" w:hAnsi="Verdana"/>
          <w:sz w:val="20"/>
          <w:szCs w:val="20"/>
        </w:rPr>
      </w:pPr>
      <w:r w:rsidRPr="00D90430">
        <w:rPr>
          <w:rFonts w:ascii="Verdana" w:hAnsi="Verdana"/>
          <w:sz w:val="20"/>
          <w:szCs w:val="20"/>
        </w:rPr>
        <w:t xml:space="preserve">de beslissingsbevoegdheid voor het Mobiliteitsplan Vlaanderen </w:t>
      </w:r>
      <w:r w:rsidR="002401B2">
        <w:rPr>
          <w:rFonts w:ascii="Verdana" w:hAnsi="Verdana"/>
          <w:sz w:val="20"/>
          <w:szCs w:val="20"/>
        </w:rPr>
        <w:t xml:space="preserve">(MPV) </w:t>
      </w:r>
      <w:r w:rsidRPr="00D90430">
        <w:rPr>
          <w:rFonts w:ascii="Verdana" w:hAnsi="Verdana"/>
          <w:sz w:val="20"/>
          <w:szCs w:val="20"/>
        </w:rPr>
        <w:t xml:space="preserve">wordt bij de Vlaamse regering gelegd. Vraag is of voor een thema met een hoge maatschappelijke impact een debat op parlementair niveau niet essentieel is. Voor het regionaal mobiliteitsplan en voor de lokale mobiliteitsplannen eist de Vlaamse overheid trouwens wel dat die door de </w:t>
      </w:r>
      <w:proofErr w:type="spellStart"/>
      <w:r w:rsidRPr="00D90430">
        <w:rPr>
          <w:rFonts w:ascii="Verdana" w:hAnsi="Verdana"/>
          <w:sz w:val="20"/>
          <w:szCs w:val="20"/>
        </w:rPr>
        <w:t>gemeentera</w:t>
      </w:r>
      <w:proofErr w:type="spellEnd"/>
      <w:r w:rsidRPr="00D90430">
        <w:rPr>
          <w:rFonts w:ascii="Verdana" w:hAnsi="Verdana"/>
          <w:sz w:val="20"/>
          <w:szCs w:val="20"/>
        </w:rPr>
        <w:t xml:space="preserve">(a)den wordt goedgekeurd. </w:t>
      </w:r>
      <w:r w:rsidR="00D2003A">
        <w:rPr>
          <w:rFonts w:ascii="Verdana" w:hAnsi="Verdana"/>
          <w:sz w:val="20"/>
          <w:szCs w:val="20"/>
        </w:rPr>
        <w:t xml:space="preserve">Het MPV heeft een geldigheidsduur van 10 jaar en dus een </w:t>
      </w:r>
      <w:proofErr w:type="spellStart"/>
      <w:r w:rsidR="00D2003A">
        <w:rPr>
          <w:rFonts w:ascii="Verdana" w:hAnsi="Verdana"/>
          <w:sz w:val="20"/>
          <w:szCs w:val="20"/>
        </w:rPr>
        <w:t>legislatuuroverschrijdend</w:t>
      </w:r>
      <w:proofErr w:type="spellEnd"/>
      <w:r w:rsidR="00D2003A">
        <w:rPr>
          <w:rFonts w:ascii="Verdana" w:hAnsi="Verdana"/>
          <w:sz w:val="20"/>
          <w:szCs w:val="20"/>
        </w:rPr>
        <w:t xml:space="preserve"> karakter. Ook daarom zou een goedkeuring door het Vlaams parlement voorlegging een evidentie moeten zijn.</w:t>
      </w:r>
    </w:p>
    <w:p w:rsidR="00B97149" w:rsidRPr="00D90430" w:rsidRDefault="009C4CE5" w:rsidP="00B97149">
      <w:pPr>
        <w:pStyle w:val="Lijstalinea"/>
        <w:numPr>
          <w:ilvl w:val="1"/>
          <w:numId w:val="11"/>
        </w:numPr>
        <w:rPr>
          <w:rFonts w:ascii="Verdana" w:hAnsi="Verdana"/>
          <w:sz w:val="20"/>
          <w:szCs w:val="20"/>
        </w:rPr>
      </w:pPr>
      <w:r>
        <w:rPr>
          <w:rFonts w:ascii="Verdana" w:hAnsi="Verdana"/>
          <w:sz w:val="20"/>
          <w:szCs w:val="20"/>
        </w:rPr>
        <w:t>al</w:t>
      </w:r>
      <w:r w:rsidR="00B97149" w:rsidRPr="00D90430">
        <w:rPr>
          <w:rFonts w:ascii="Verdana" w:hAnsi="Verdana"/>
          <w:sz w:val="20"/>
          <w:szCs w:val="20"/>
        </w:rPr>
        <w:t xml:space="preserve">lerlei bepaling </w:t>
      </w:r>
      <w:proofErr w:type="spellStart"/>
      <w:r w:rsidR="00B97149" w:rsidRPr="00D90430">
        <w:rPr>
          <w:rFonts w:ascii="Verdana" w:hAnsi="Verdana"/>
          <w:sz w:val="20"/>
          <w:szCs w:val="20"/>
        </w:rPr>
        <w:t>mbt</w:t>
      </w:r>
      <w:proofErr w:type="spellEnd"/>
      <w:r w:rsidR="00B97149" w:rsidRPr="00D90430">
        <w:rPr>
          <w:rFonts w:ascii="Verdana" w:hAnsi="Verdana"/>
          <w:sz w:val="20"/>
          <w:szCs w:val="20"/>
        </w:rPr>
        <w:t xml:space="preserve"> de organisatie van de </w:t>
      </w:r>
      <w:proofErr w:type="spellStart"/>
      <w:r w:rsidR="00B97149" w:rsidRPr="00D90430">
        <w:rPr>
          <w:rFonts w:ascii="Verdana" w:hAnsi="Verdana"/>
          <w:sz w:val="20"/>
          <w:szCs w:val="20"/>
        </w:rPr>
        <w:t>VVR</w:t>
      </w:r>
      <w:r>
        <w:rPr>
          <w:rFonts w:ascii="Verdana" w:hAnsi="Verdana"/>
          <w:sz w:val="20"/>
          <w:szCs w:val="20"/>
        </w:rPr>
        <w:t>’</w:t>
      </w:r>
      <w:r w:rsidR="00B97149" w:rsidRPr="00D90430">
        <w:rPr>
          <w:rFonts w:ascii="Verdana" w:hAnsi="Verdana"/>
          <w:sz w:val="20"/>
          <w:szCs w:val="20"/>
        </w:rPr>
        <w:t>s</w:t>
      </w:r>
      <w:proofErr w:type="spellEnd"/>
      <w:r>
        <w:rPr>
          <w:rFonts w:ascii="Verdana" w:hAnsi="Verdana"/>
          <w:sz w:val="20"/>
          <w:szCs w:val="20"/>
        </w:rPr>
        <w:t xml:space="preserve"> worden doorgeschoven naar de Vlaamse regering. V</w:t>
      </w:r>
      <w:r w:rsidR="00B97149" w:rsidRPr="00D90430">
        <w:rPr>
          <w:rFonts w:ascii="Verdana" w:hAnsi="Verdana"/>
          <w:sz w:val="20"/>
          <w:szCs w:val="20"/>
        </w:rPr>
        <w:t>raag is of daar toch niet een aantal minimale bepalingen best decretaal worden verankerd.</w:t>
      </w:r>
    </w:p>
    <w:p w:rsidR="00971C27" w:rsidRPr="00D90430" w:rsidRDefault="00917399" w:rsidP="00971C27">
      <w:pPr>
        <w:pStyle w:val="Lijstalinea"/>
        <w:numPr>
          <w:ilvl w:val="0"/>
          <w:numId w:val="11"/>
        </w:numPr>
        <w:rPr>
          <w:rFonts w:ascii="Verdana" w:hAnsi="Verdana"/>
          <w:sz w:val="20"/>
          <w:szCs w:val="20"/>
        </w:rPr>
      </w:pPr>
      <w:r>
        <w:rPr>
          <w:rFonts w:ascii="Verdana" w:hAnsi="Verdana"/>
          <w:sz w:val="20"/>
          <w:szCs w:val="20"/>
        </w:rPr>
        <w:t>i</w:t>
      </w:r>
      <w:r w:rsidR="00971C27" w:rsidRPr="00D90430">
        <w:rPr>
          <w:rFonts w:ascii="Verdana" w:hAnsi="Verdana"/>
          <w:sz w:val="20"/>
          <w:szCs w:val="20"/>
        </w:rPr>
        <w:t xml:space="preserve">n het decreet wordt bepaald dat de Vlaamse regering </w:t>
      </w:r>
      <w:r w:rsidR="00971C27" w:rsidRPr="007E0F30">
        <w:rPr>
          <w:rFonts w:ascii="Verdana" w:hAnsi="Verdana"/>
          <w:b/>
          <w:sz w:val="20"/>
          <w:szCs w:val="20"/>
        </w:rPr>
        <w:t>minimum kwaliteitseisen</w:t>
      </w:r>
      <w:r w:rsidR="00971C27" w:rsidRPr="00D90430">
        <w:rPr>
          <w:rFonts w:ascii="Verdana" w:hAnsi="Verdana"/>
          <w:sz w:val="20"/>
          <w:szCs w:val="20"/>
        </w:rPr>
        <w:t xml:space="preserve"> zal bepalen voor het OV-netwerk. Dit zou echter ook kunnen gebeuren voor andere vervoersnetwerken, </w:t>
      </w:r>
      <w:proofErr w:type="spellStart"/>
      <w:r w:rsidR="00971C27" w:rsidRPr="00D90430">
        <w:rPr>
          <w:rFonts w:ascii="Verdana" w:hAnsi="Verdana"/>
          <w:sz w:val="20"/>
          <w:szCs w:val="20"/>
        </w:rPr>
        <w:t>bvb</w:t>
      </w:r>
      <w:proofErr w:type="spellEnd"/>
      <w:r w:rsidR="00971C27" w:rsidRPr="00D90430">
        <w:rPr>
          <w:rFonts w:ascii="Verdana" w:hAnsi="Verdana"/>
          <w:sz w:val="20"/>
          <w:szCs w:val="20"/>
        </w:rPr>
        <w:t xml:space="preserve"> voor het fietsnetwerk (minimumeisen </w:t>
      </w:r>
      <w:proofErr w:type="spellStart"/>
      <w:r w:rsidR="00971C27" w:rsidRPr="00D90430">
        <w:rPr>
          <w:rFonts w:ascii="Verdana" w:hAnsi="Verdana"/>
          <w:sz w:val="20"/>
          <w:szCs w:val="20"/>
        </w:rPr>
        <w:t>ivm</w:t>
      </w:r>
      <w:proofErr w:type="spellEnd"/>
      <w:r w:rsidR="00971C27" w:rsidRPr="00D90430">
        <w:rPr>
          <w:rFonts w:ascii="Verdana" w:hAnsi="Verdana"/>
          <w:sz w:val="20"/>
          <w:szCs w:val="20"/>
        </w:rPr>
        <w:t xml:space="preserve"> maatvoering, </w:t>
      </w:r>
      <w:proofErr w:type="spellStart"/>
      <w:r w:rsidR="00971C27" w:rsidRPr="00D90430">
        <w:rPr>
          <w:rFonts w:ascii="Verdana" w:hAnsi="Verdana"/>
          <w:sz w:val="20"/>
          <w:szCs w:val="20"/>
        </w:rPr>
        <w:t>ongelijkgrondse</w:t>
      </w:r>
      <w:proofErr w:type="spellEnd"/>
      <w:r w:rsidR="00971C27" w:rsidRPr="00D90430">
        <w:rPr>
          <w:rFonts w:ascii="Verdana" w:hAnsi="Verdana"/>
          <w:sz w:val="20"/>
          <w:szCs w:val="20"/>
        </w:rPr>
        <w:t xml:space="preserve"> kruisingen, …).</w:t>
      </w:r>
      <w:r w:rsidR="00B97149">
        <w:rPr>
          <w:rFonts w:ascii="Verdana" w:hAnsi="Verdana"/>
          <w:sz w:val="20"/>
          <w:szCs w:val="20"/>
        </w:rPr>
        <w:t xml:space="preserve"> Zeker wanneer de kwaliteitsbewaking via de auditor wegvalt lijkt de vastlegging van minimum kwaliteitseisen in een decreet of </w:t>
      </w:r>
      <w:r w:rsidR="007E0F30">
        <w:rPr>
          <w:rFonts w:ascii="Verdana" w:hAnsi="Verdana"/>
          <w:sz w:val="20"/>
          <w:szCs w:val="20"/>
        </w:rPr>
        <w:t xml:space="preserve">minstens </w:t>
      </w:r>
      <w:r w:rsidR="00B97149">
        <w:rPr>
          <w:rFonts w:ascii="Verdana" w:hAnsi="Verdana"/>
          <w:sz w:val="20"/>
          <w:szCs w:val="20"/>
        </w:rPr>
        <w:t xml:space="preserve">een uitvoeringsbesluit geen overbodige luxe. </w:t>
      </w:r>
    </w:p>
    <w:p w:rsidR="00901A45" w:rsidRPr="00D90430" w:rsidRDefault="00917399" w:rsidP="00971C27">
      <w:pPr>
        <w:pStyle w:val="Lijstalinea"/>
        <w:numPr>
          <w:ilvl w:val="0"/>
          <w:numId w:val="11"/>
        </w:numPr>
        <w:rPr>
          <w:rFonts w:ascii="Verdana" w:hAnsi="Verdana"/>
          <w:sz w:val="20"/>
          <w:szCs w:val="20"/>
        </w:rPr>
      </w:pPr>
      <w:r>
        <w:rPr>
          <w:rFonts w:ascii="Verdana" w:hAnsi="Verdana"/>
          <w:sz w:val="20"/>
          <w:szCs w:val="20"/>
        </w:rPr>
        <w:t>d</w:t>
      </w:r>
      <w:r w:rsidR="00971C27" w:rsidRPr="00D90430">
        <w:rPr>
          <w:rFonts w:ascii="Verdana" w:hAnsi="Verdana"/>
          <w:sz w:val="20"/>
          <w:szCs w:val="20"/>
        </w:rPr>
        <w:t xml:space="preserve">e huidige organisatie waarbij zowel mobiliteitsplannen als mobiliteitsprojecten worden behandeld via GBC/RMC wordt opgesplitst waarbij enerzijds de VVR een aantal taken op zich neemt (regionaal mobiliteitsplan, inspraak GIP, advisering KN, bepaling AN en </w:t>
      </w:r>
      <w:proofErr w:type="spellStart"/>
      <w:r w:rsidR="00971C27" w:rsidRPr="00D90430">
        <w:rPr>
          <w:rFonts w:ascii="Verdana" w:hAnsi="Verdana"/>
          <w:sz w:val="20"/>
          <w:szCs w:val="20"/>
        </w:rPr>
        <w:t>VoM</w:t>
      </w:r>
      <w:proofErr w:type="spellEnd"/>
      <w:r w:rsidR="00971C27" w:rsidRPr="00D90430">
        <w:rPr>
          <w:rFonts w:ascii="Verdana" w:hAnsi="Verdana"/>
          <w:sz w:val="20"/>
          <w:szCs w:val="20"/>
        </w:rPr>
        <w:t xml:space="preserve">) en anderzijds de projectstuurgroep. </w:t>
      </w:r>
      <w:r w:rsidR="00731C2F" w:rsidRPr="00D90430">
        <w:rPr>
          <w:rFonts w:ascii="Verdana" w:hAnsi="Verdana"/>
          <w:sz w:val="20"/>
          <w:szCs w:val="20"/>
        </w:rPr>
        <w:t>h</w:t>
      </w:r>
      <w:r w:rsidR="002915C6" w:rsidRPr="00D90430">
        <w:rPr>
          <w:rFonts w:ascii="Verdana" w:hAnsi="Verdana"/>
          <w:sz w:val="20"/>
          <w:szCs w:val="20"/>
        </w:rPr>
        <w:t>oe stemmen de vervoersregio’s onderling af</w:t>
      </w:r>
      <w:r w:rsidR="00731C2F" w:rsidRPr="00D90430">
        <w:rPr>
          <w:rFonts w:ascii="Verdana" w:hAnsi="Verdana"/>
          <w:sz w:val="20"/>
          <w:szCs w:val="20"/>
        </w:rPr>
        <w:t xml:space="preserve"> en wat er gebeurt er bij conflicten tussen verschillen vervoerregio’s?</w:t>
      </w:r>
    </w:p>
    <w:p w:rsidR="00A7732A" w:rsidRPr="00D90430" w:rsidRDefault="00A7732A" w:rsidP="00B97149">
      <w:pPr>
        <w:pStyle w:val="Lijstalinea"/>
        <w:numPr>
          <w:ilvl w:val="0"/>
          <w:numId w:val="11"/>
        </w:numPr>
        <w:rPr>
          <w:rFonts w:ascii="Verdana" w:hAnsi="Verdana"/>
          <w:sz w:val="20"/>
          <w:szCs w:val="20"/>
        </w:rPr>
      </w:pPr>
      <w:r w:rsidRPr="00D90430">
        <w:rPr>
          <w:rFonts w:ascii="Verdana" w:hAnsi="Verdana"/>
          <w:sz w:val="20"/>
          <w:szCs w:val="20"/>
        </w:rPr>
        <w:t xml:space="preserve">de </w:t>
      </w:r>
      <w:proofErr w:type="spellStart"/>
      <w:r w:rsidR="00E948BA" w:rsidRPr="00D90430">
        <w:rPr>
          <w:rFonts w:ascii="Verdana" w:hAnsi="Verdana"/>
          <w:sz w:val="20"/>
          <w:szCs w:val="20"/>
        </w:rPr>
        <w:t>MvT</w:t>
      </w:r>
      <w:proofErr w:type="spellEnd"/>
      <w:r w:rsidR="00E948BA" w:rsidRPr="00D90430">
        <w:rPr>
          <w:rFonts w:ascii="Verdana" w:hAnsi="Verdana"/>
          <w:sz w:val="20"/>
          <w:szCs w:val="20"/>
        </w:rPr>
        <w:t xml:space="preserve"> geeft aan </w:t>
      </w:r>
      <w:r w:rsidRPr="00D90430">
        <w:rPr>
          <w:rFonts w:ascii="Verdana" w:hAnsi="Verdana"/>
          <w:sz w:val="20"/>
          <w:szCs w:val="20"/>
        </w:rPr>
        <w:t xml:space="preserve">dat het niet de ambitie is om met de vervoerregio’s </w:t>
      </w:r>
      <w:r w:rsidRPr="007E0F30">
        <w:rPr>
          <w:rFonts w:ascii="Verdana" w:hAnsi="Verdana"/>
          <w:b/>
          <w:sz w:val="20"/>
          <w:szCs w:val="20"/>
        </w:rPr>
        <w:t>een nieuwe bestuurslaag</w:t>
      </w:r>
      <w:r w:rsidRPr="00D90430">
        <w:rPr>
          <w:rFonts w:ascii="Verdana" w:hAnsi="Verdana"/>
          <w:sz w:val="20"/>
          <w:szCs w:val="20"/>
        </w:rPr>
        <w:t xml:space="preserve"> in het leven te roepen</w:t>
      </w:r>
      <w:r w:rsidR="00E948BA" w:rsidRPr="00D90430">
        <w:rPr>
          <w:rFonts w:ascii="Verdana" w:hAnsi="Verdana"/>
          <w:sz w:val="20"/>
          <w:szCs w:val="20"/>
        </w:rPr>
        <w:t xml:space="preserve">. Aan </w:t>
      </w:r>
      <w:r w:rsidR="003F6C1F" w:rsidRPr="00D90430">
        <w:rPr>
          <w:rFonts w:ascii="Verdana" w:hAnsi="Verdana"/>
          <w:sz w:val="20"/>
          <w:szCs w:val="20"/>
        </w:rPr>
        <w:t>d</w:t>
      </w:r>
      <w:r w:rsidR="00E948BA" w:rsidRPr="00D90430">
        <w:rPr>
          <w:rFonts w:ascii="Verdana" w:hAnsi="Verdana"/>
          <w:sz w:val="20"/>
          <w:szCs w:val="20"/>
        </w:rPr>
        <w:t>e andere kant krijgen de vervoerregio</w:t>
      </w:r>
      <w:r w:rsidR="003F6C1F" w:rsidRPr="00D90430">
        <w:rPr>
          <w:rFonts w:ascii="Verdana" w:hAnsi="Verdana"/>
          <w:sz w:val="20"/>
          <w:szCs w:val="20"/>
        </w:rPr>
        <w:t>’</w:t>
      </w:r>
      <w:r w:rsidR="00E948BA" w:rsidRPr="00D90430">
        <w:rPr>
          <w:rFonts w:ascii="Verdana" w:hAnsi="Verdana"/>
          <w:sz w:val="20"/>
          <w:szCs w:val="20"/>
        </w:rPr>
        <w:t xml:space="preserve">s toch een aantal bevoegdheden toegewezen. </w:t>
      </w:r>
      <w:r w:rsidR="00F6103C" w:rsidRPr="00D90430">
        <w:rPr>
          <w:rFonts w:ascii="Verdana" w:hAnsi="Verdana"/>
          <w:sz w:val="20"/>
          <w:szCs w:val="20"/>
        </w:rPr>
        <w:t xml:space="preserve">Het is niet ondenkbaar dat </w:t>
      </w:r>
      <w:r w:rsidRPr="00D90430">
        <w:rPr>
          <w:rFonts w:ascii="Verdana" w:hAnsi="Verdana"/>
          <w:sz w:val="20"/>
          <w:szCs w:val="20"/>
        </w:rPr>
        <w:t>ook de indeling in brandweer- en politiezones</w:t>
      </w:r>
      <w:r w:rsidR="00E948BA" w:rsidRPr="00D90430">
        <w:rPr>
          <w:rFonts w:ascii="Verdana" w:hAnsi="Verdana"/>
          <w:sz w:val="20"/>
          <w:szCs w:val="20"/>
        </w:rPr>
        <w:t xml:space="preserve"> en </w:t>
      </w:r>
      <w:r w:rsidRPr="00D90430">
        <w:rPr>
          <w:rFonts w:ascii="Verdana" w:hAnsi="Verdana"/>
          <w:sz w:val="20"/>
          <w:szCs w:val="20"/>
        </w:rPr>
        <w:t>de organisatie van andere, aan het thema mobiliteit gerelateerde departementen</w:t>
      </w:r>
      <w:r w:rsidR="00F6103C" w:rsidRPr="00D90430">
        <w:rPr>
          <w:rFonts w:ascii="Verdana" w:hAnsi="Verdana"/>
          <w:sz w:val="20"/>
          <w:szCs w:val="20"/>
        </w:rPr>
        <w:t xml:space="preserve"> (</w:t>
      </w:r>
      <w:proofErr w:type="spellStart"/>
      <w:r w:rsidR="00F6103C" w:rsidRPr="00D90430">
        <w:rPr>
          <w:rFonts w:ascii="Verdana" w:hAnsi="Verdana"/>
          <w:sz w:val="20"/>
          <w:szCs w:val="20"/>
        </w:rPr>
        <w:t>bvb</w:t>
      </w:r>
      <w:proofErr w:type="spellEnd"/>
      <w:r w:rsidR="00F6103C" w:rsidRPr="00D90430">
        <w:rPr>
          <w:rFonts w:ascii="Verdana" w:hAnsi="Verdana"/>
          <w:sz w:val="20"/>
          <w:szCs w:val="20"/>
        </w:rPr>
        <w:t xml:space="preserve"> departement Omgeving)</w:t>
      </w:r>
      <w:r w:rsidR="003F6C1F" w:rsidRPr="00D90430">
        <w:rPr>
          <w:rFonts w:ascii="Verdana" w:hAnsi="Verdana"/>
          <w:sz w:val="20"/>
          <w:szCs w:val="20"/>
        </w:rPr>
        <w:t>,</w:t>
      </w:r>
      <w:r w:rsidRPr="00D90430">
        <w:rPr>
          <w:rFonts w:ascii="Verdana" w:hAnsi="Verdana"/>
          <w:sz w:val="20"/>
          <w:szCs w:val="20"/>
        </w:rPr>
        <w:t xml:space="preserve"> in</w:t>
      </w:r>
      <w:r w:rsidR="00E948BA" w:rsidRPr="00D90430">
        <w:rPr>
          <w:rFonts w:ascii="Verdana" w:hAnsi="Verdana"/>
          <w:sz w:val="20"/>
          <w:szCs w:val="20"/>
        </w:rPr>
        <w:t xml:space="preserve"> </w:t>
      </w:r>
      <w:r w:rsidRPr="00D90430">
        <w:rPr>
          <w:rFonts w:ascii="Verdana" w:hAnsi="Verdana"/>
          <w:sz w:val="20"/>
          <w:szCs w:val="20"/>
        </w:rPr>
        <w:t>de toek</w:t>
      </w:r>
      <w:r w:rsidR="00E948BA" w:rsidRPr="00D90430">
        <w:rPr>
          <w:rFonts w:ascii="Verdana" w:hAnsi="Verdana"/>
          <w:sz w:val="20"/>
          <w:szCs w:val="20"/>
        </w:rPr>
        <w:t>omst</w:t>
      </w:r>
      <w:r w:rsidRPr="00D90430">
        <w:rPr>
          <w:rFonts w:ascii="Verdana" w:hAnsi="Verdana"/>
          <w:sz w:val="20"/>
          <w:szCs w:val="20"/>
        </w:rPr>
        <w:t xml:space="preserve"> niet zal worden afgestemd op de indeling in vervoerregio’s</w:t>
      </w:r>
      <w:r w:rsidR="00E948BA" w:rsidRPr="00D90430">
        <w:rPr>
          <w:rFonts w:ascii="Verdana" w:hAnsi="Verdana"/>
          <w:sz w:val="20"/>
          <w:szCs w:val="20"/>
        </w:rPr>
        <w:t xml:space="preserve"> waardoor </w:t>
      </w:r>
      <w:r w:rsidRPr="00D90430">
        <w:rPr>
          <w:rFonts w:ascii="Verdana" w:hAnsi="Verdana"/>
          <w:sz w:val="20"/>
          <w:szCs w:val="20"/>
        </w:rPr>
        <w:t>in de feiten toch een nieuwe bestuurslaag ontstaat.</w:t>
      </w:r>
    </w:p>
    <w:p w:rsidR="00731C2F" w:rsidRPr="00D90430" w:rsidRDefault="00731C2F" w:rsidP="00B97149">
      <w:pPr>
        <w:pStyle w:val="Lijstalinea"/>
        <w:numPr>
          <w:ilvl w:val="0"/>
          <w:numId w:val="11"/>
        </w:numPr>
        <w:rPr>
          <w:rFonts w:ascii="Verdana" w:hAnsi="Verdana"/>
          <w:sz w:val="20"/>
          <w:szCs w:val="20"/>
        </w:rPr>
      </w:pPr>
      <w:r w:rsidRPr="00D90430">
        <w:rPr>
          <w:rFonts w:ascii="Verdana" w:hAnsi="Verdana"/>
          <w:sz w:val="20"/>
          <w:szCs w:val="20"/>
        </w:rPr>
        <w:t xml:space="preserve">hoe kan vanuit gebruikersperspectief een </w:t>
      </w:r>
      <w:r w:rsidRPr="007E0F30">
        <w:rPr>
          <w:rFonts w:ascii="Verdana" w:hAnsi="Verdana"/>
          <w:b/>
          <w:sz w:val="20"/>
          <w:szCs w:val="20"/>
        </w:rPr>
        <w:t>eenduidige tarief- en betalingsstructuur</w:t>
      </w:r>
      <w:r w:rsidRPr="00D90430">
        <w:rPr>
          <w:rFonts w:ascii="Verdana" w:hAnsi="Verdana"/>
          <w:sz w:val="20"/>
          <w:szCs w:val="20"/>
        </w:rPr>
        <w:t xml:space="preserve"> gegarandeerd worden? De gebruiker weet nu duidelijk wat over heel Vlaanderen de prijs is van openbaar vervoer, </w:t>
      </w:r>
      <w:r w:rsidR="002E33B6" w:rsidRPr="00D90430">
        <w:rPr>
          <w:rFonts w:ascii="Verdana" w:hAnsi="Verdana"/>
          <w:sz w:val="20"/>
          <w:szCs w:val="20"/>
        </w:rPr>
        <w:t>kan zich met 1 vervoersbewijs over heel Vlaanderen met de bus verplaatsen en weet</w:t>
      </w:r>
      <w:r w:rsidRPr="00D90430">
        <w:rPr>
          <w:rFonts w:ascii="Verdana" w:hAnsi="Verdana"/>
          <w:sz w:val="20"/>
          <w:szCs w:val="20"/>
        </w:rPr>
        <w:t xml:space="preserve"> waar hij/zij eventueel terecht kan voor klachten. In een meer versnipperd mobiliteitslandschap dreigt de gebruiker te moeten inboeten aan rechtszekerheid</w:t>
      </w:r>
      <w:r w:rsidR="00487BC3" w:rsidRPr="00D90430">
        <w:rPr>
          <w:rFonts w:ascii="Verdana" w:hAnsi="Verdana"/>
          <w:sz w:val="20"/>
          <w:szCs w:val="20"/>
        </w:rPr>
        <w:t>,</w:t>
      </w:r>
      <w:r w:rsidRPr="00D90430">
        <w:rPr>
          <w:rFonts w:ascii="Verdana" w:hAnsi="Verdana"/>
          <w:sz w:val="20"/>
          <w:szCs w:val="20"/>
        </w:rPr>
        <w:t xml:space="preserve"> betalingscomfort en </w:t>
      </w:r>
      <w:r w:rsidR="00487BC3" w:rsidRPr="00D90430">
        <w:rPr>
          <w:rFonts w:ascii="Verdana" w:hAnsi="Verdana"/>
          <w:sz w:val="20"/>
          <w:szCs w:val="20"/>
        </w:rPr>
        <w:t>geb</w:t>
      </w:r>
      <w:r w:rsidR="008F2184" w:rsidRPr="00D90430">
        <w:rPr>
          <w:rFonts w:ascii="Verdana" w:hAnsi="Verdana"/>
          <w:sz w:val="20"/>
          <w:szCs w:val="20"/>
        </w:rPr>
        <w:t>r</w:t>
      </w:r>
      <w:r w:rsidR="00487BC3" w:rsidRPr="00D90430">
        <w:rPr>
          <w:rFonts w:ascii="Verdana" w:hAnsi="Verdana"/>
          <w:sz w:val="20"/>
          <w:szCs w:val="20"/>
        </w:rPr>
        <w:t>uiksgemak.</w:t>
      </w:r>
    </w:p>
    <w:p w:rsidR="00B434C9" w:rsidRPr="00D90430" w:rsidRDefault="00917399" w:rsidP="00B97149">
      <w:pPr>
        <w:pStyle w:val="Lijstalinea"/>
        <w:numPr>
          <w:ilvl w:val="0"/>
          <w:numId w:val="11"/>
        </w:numPr>
        <w:rPr>
          <w:rFonts w:ascii="Verdana" w:hAnsi="Verdana"/>
          <w:sz w:val="20"/>
          <w:szCs w:val="20"/>
        </w:rPr>
      </w:pPr>
      <w:r>
        <w:rPr>
          <w:rFonts w:ascii="Verdana" w:hAnsi="Verdana"/>
          <w:sz w:val="20"/>
          <w:szCs w:val="20"/>
        </w:rPr>
        <w:lastRenderedPageBreak/>
        <w:t>h</w:t>
      </w:r>
      <w:r w:rsidR="002E33B6" w:rsidRPr="00D90430">
        <w:rPr>
          <w:rFonts w:ascii="Verdana" w:hAnsi="Verdana"/>
          <w:sz w:val="20"/>
          <w:szCs w:val="20"/>
        </w:rPr>
        <w:t>o</w:t>
      </w:r>
      <w:r w:rsidR="00B434C9" w:rsidRPr="00D90430">
        <w:rPr>
          <w:rFonts w:ascii="Verdana" w:hAnsi="Verdana"/>
          <w:sz w:val="20"/>
          <w:szCs w:val="20"/>
        </w:rPr>
        <w:t xml:space="preserve">e de </w:t>
      </w:r>
      <w:r w:rsidR="00B434C9" w:rsidRPr="007E0F30">
        <w:rPr>
          <w:rFonts w:ascii="Verdana" w:hAnsi="Verdana"/>
          <w:b/>
          <w:sz w:val="20"/>
          <w:szCs w:val="20"/>
        </w:rPr>
        <w:t>categorisering van de vervoersnetwerken</w:t>
      </w:r>
      <w:r w:rsidR="00B434C9" w:rsidRPr="00D90430">
        <w:rPr>
          <w:rFonts w:ascii="Verdana" w:hAnsi="Verdana"/>
          <w:sz w:val="20"/>
          <w:szCs w:val="20"/>
        </w:rPr>
        <w:t xml:space="preserve"> na het verdwijnen van de gewestelijke, provinciale en gemeentelijke structuurplannen zal gebeuren, blijft onduidelijk. In het voorliggend decreet wordt wel de categorisering van de vervoersnetwerken enkel</w:t>
      </w:r>
      <w:r w:rsidR="008F2184" w:rsidRPr="00D90430">
        <w:rPr>
          <w:rFonts w:ascii="Verdana" w:hAnsi="Verdana"/>
          <w:sz w:val="20"/>
          <w:szCs w:val="20"/>
        </w:rPr>
        <w:t>e</w:t>
      </w:r>
      <w:r w:rsidR="00B434C9" w:rsidRPr="00D90430">
        <w:rPr>
          <w:rFonts w:ascii="Verdana" w:hAnsi="Verdana"/>
          <w:sz w:val="20"/>
          <w:szCs w:val="20"/>
        </w:rPr>
        <w:t xml:space="preserve"> keren aangehaald. Maar een globaal zicht over hoe en door wie de categorisering al gebeuren en welke juridische waarde daaraan gehecht </w:t>
      </w:r>
      <w:r w:rsidR="002E33B6" w:rsidRPr="00D90430">
        <w:rPr>
          <w:rFonts w:ascii="Verdana" w:hAnsi="Verdana"/>
          <w:sz w:val="20"/>
          <w:szCs w:val="20"/>
        </w:rPr>
        <w:t>wordt,</w:t>
      </w:r>
      <w:r w:rsidR="00B434C9" w:rsidRPr="00D90430">
        <w:rPr>
          <w:rFonts w:ascii="Verdana" w:hAnsi="Verdana"/>
          <w:sz w:val="20"/>
          <w:szCs w:val="20"/>
        </w:rPr>
        <w:t xml:space="preserve"> ontbreekt.</w:t>
      </w:r>
    </w:p>
    <w:p w:rsidR="00971C27" w:rsidRPr="00D90430" w:rsidRDefault="00971C27" w:rsidP="00B97149">
      <w:pPr>
        <w:spacing w:after="160" w:line="259" w:lineRule="auto"/>
        <w:rPr>
          <w:rFonts w:ascii="Verdana" w:hAnsi="Verdana"/>
          <w:sz w:val="20"/>
          <w:szCs w:val="20"/>
        </w:rPr>
      </w:pPr>
    </w:p>
    <w:p w:rsidR="00971C27" w:rsidRPr="00D90430" w:rsidRDefault="00971C27" w:rsidP="00971C27">
      <w:pPr>
        <w:pStyle w:val="Lijstalinea"/>
        <w:numPr>
          <w:ilvl w:val="0"/>
          <w:numId w:val="21"/>
        </w:numPr>
        <w:spacing w:after="160" w:line="259" w:lineRule="auto"/>
        <w:ind w:left="426" w:hanging="426"/>
        <w:rPr>
          <w:rFonts w:ascii="Verdana" w:hAnsi="Verdana"/>
          <w:b/>
          <w:sz w:val="20"/>
          <w:szCs w:val="20"/>
        </w:rPr>
      </w:pPr>
      <w:r w:rsidRPr="00D90430">
        <w:rPr>
          <w:rFonts w:ascii="Verdana" w:hAnsi="Verdana"/>
          <w:b/>
          <w:sz w:val="20"/>
          <w:szCs w:val="20"/>
        </w:rPr>
        <w:t xml:space="preserve">Artikelsgewijze </w:t>
      </w:r>
      <w:r w:rsidR="00917399">
        <w:rPr>
          <w:rFonts w:ascii="Verdana" w:hAnsi="Verdana"/>
          <w:b/>
          <w:sz w:val="20"/>
          <w:szCs w:val="20"/>
        </w:rPr>
        <w:t>opmerkingen</w:t>
      </w:r>
    </w:p>
    <w:p w:rsidR="00DC5F82" w:rsidRPr="00D90430" w:rsidRDefault="00DC5F82">
      <w:pPr>
        <w:rPr>
          <w:rFonts w:ascii="Verdana" w:hAnsi="Verdana"/>
          <w:sz w:val="20"/>
          <w:szCs w:val="20"/>
        </w:rPr>
      </w:pPr>
    </w:p>
    <w:p w:rsidR="00CC7406" w:rsidRPr="00D90430" w:rsidRDefault="00CC7406">
      <w:pPr>
        <w:rPr>
          <w:rFonts w:ascii="Verdana" w:hAnsi="Verdana"/>
          <w:b/>
          <w:sz w:val="20"/>
          <w:szCs w:val="20"/>
        </w:rPr>
      </w:pPr>
      <w:r w:rsidRPr="00D90430">
        <w:rPr>
          <w:rFonts w:ascii="Verdana" w:hAnsi="Verdana"/>
          <w:b/>
          <w:sz w:val="20"/>
          <w:szCs w:val="20"/>
        </w:rPr>
        <w:t>Artikel 3</w:t>
      </w:r>
    </w:p>
    <w:p w:rsidR="00CC7406" w:rsidRPr="00D90430" w:rsidRDefault="00CC7406">
      <w:pPr>
        <w:rPr>
          <w:rFonts w:ascii="Verdana" w:hAnsi="Verdana"/>
          <w:sz w:val="20"/>
          <w:szCs w:val="20"/>
        </w:rPr>
      </w:pPr>
    </w:p>
    <w:p w:rsidR="00CC7406" w:rsidRPr="00D90430" w:rsidRDefault="00FD7E59" w:rsidP="00FD7E59">
      <w:pPr>
        <w:rPr>
          <w:rFonts w:ascii="Verdana" w:hAnsi="Verdana"/>
          <w:sz w:val="20"/>
          <w:szCs w:val="20"/>
        </w:rPr>
      </w:pPr>
      <w:r w:rsidRPr="00D90430">
        <w:rPr>
          <w:rFonts w:ascii="Verdana" w:hAnsi="Verdana"/>
          <w:sz w:val="20"/>
          <w:szCs w:val="20"/>
        </w:rPr>
        <w:t xml:space="preserve">Dit artikel is sterk vanuit een economisch perspectief geschreven. Hier wordt letterlijk “de economie” voor </w:t>
      </w:r>
      <w:r w:rsidR="00731C2F" w:rsidRPr="00D90430">
        <w:rPr>
          <w:rFonts w:ascii="Verdana" w:hAnsi="Verdana"/>
          <w:sz w:val="20"/>
          <w:szCs w:val="20"/>
        </w:rPr>
        <w:t>“</w:t>
      </w:r>
      <w:r w:rsidRPr="00D90430">
        <w:rPr>
          <w:rFonts w:ascii="Verdana" w:hAnsi="Verdana"/>
          <w:sz w:val="20"/>
          <w:szCs w:val="20"/>
        </w:rPr>
        <w:t>de maatschappij” ge</w:t>
      </w:r>
      <w:r w:rsidR="00731C2F" w:rsidRPr="00D90430">
        <w:rPr>
          <w:rFonts w:ascii="Verdana" w:hAnsi="Verdana"/>
          <w:sz w:val="20"/>
          <w:szCs w:val="20"/>
        </w:rPr>
        <w:t>plaatst</w:t>
      </w:r>
      <w:r w:rsidRPr="00D90430">
        <w:rPr>
          <w:rFonts w:ascii="Verdana" w:hAnsi="Verdana"/>
          <w:sz w:val="20"/>
          <w:szCs w:val="20"/>
        </w:rPr>
        <w:t xml:space="preserve">. </w:t>
      </w:r>
      <w:r w:rsidR="00DC380C" w:rsidRPr="00D90430">
        <w:rPr>
          <w:rFonts w:ascii="Verdana" w:hAnsi="Verdana"/>
          <w:sz w:val="20"/>
          <w:szCs w:val="20"/>
        </w:rPr>
        <w:t xml:space="preserve">De verdienste van het huidige mobiliteitsdecreet is dat het </w:t>
      </w:r>
      <w:r w:rsidR="007E0F30">
        <w:rPr>
          <w:rFonts w:ascii="Verdana" w:hAnsi="Verdana"/>
          <w:sz w:val="20"/>
          <w:szCs w:val="20"/>
        </w:rPr>
        <w:t>expliciet</w:t>
      </w:r>
      <w:r w:rsidR="00DC380C" w:rsidRPr="00D90430">
        <w:rPr>
          <w:rFonts w:ascii="Verdana" w:hAnsi="Verdana"/>
          <w:sz w:val="20"/>
          <w:szCs w:val="20"/>
        </w:rPr>
        <w:t xml:space="preserve"> het recht van iedereen </w:t>
      </w:r>
      <w:r w:rsidR="007E0F30" w:rsidRPr="00D90430">
        <w:rPr>
          <w:rFonts w:ascii="Verdana" w:hAnsi="Verdana"/>
          <w:sz w:val="20"/>
          <w:szCs w:val="20"/>
        </w:rPr>
        <w:t xml:space="preserve">erkent </w:t>
      </w:r>
      <w:r w:rsidR="00DC380C" w:rsidRPr="00D90430">
        <w:rPr>
          <w:rFonts w:ascii="Verdana" w:hAnsi="Verdana"/>
          <w:sz w:val="20"/>
          <w:szCs w:val="20"/>
        </w:rPr>
        <w:t>om zich te kunnen verplaatsen om deel te nemen aan het maatschappelijk leven</w:t>
      </w:r>
      <w:r w:rsidR="00DC5F82" w:rsidRPr="00D90430">
        <w:rPr>
          <w:rFonts w:ascii="Verdana" w:hAnsi="Verdana"/>
          <w:sz w:val="20"/>
          <w:szCs w:val="20"/>
        </w:rPr>
        <w:t xml:space="preserve"> </w:t>
      </w:r>
      <w:r w:rsidR="00DC5F82" w:rsidRPr="00D90430">
        <w:rPr>
          <w:rFonts w:ascii="Verdana" w:hAnsi="Verdana"/>
          <w:i/>
          <w:sz w:val="20"/>
          <w:szCs w:val="20"/>
        </w:rPr>
        <w:t>“</w:t>
      </w:r>
      <w:r w:rsidR="00DC5F82" w:rsidRPr="00D90430">
        <w:rPr>
          <w:rFonts w:ascii="Verdana" w:hAnsi="Verdana" w:cs="Arial"/>
          <w:i/>
          <w:sz w:val="20"/>
          <w:szCs w:val="20"/>
        </w:rPr>
        <w:t>iedereen op een selectieve wijze de mogelijkheid bieden zich te verplaatsen, met het oog op de volwaardige deelname van eenieder aan het maatschappelijk leven”</w:t>
      </w:r>
      <w:r w:rsidR="00DC380C" w:rsidRPr="00D90430">
        <w:rPr>
          <w:rFonts w:ascii="Verdana" w:hAnsi="Verdana"/>
          <w:sz w:val="20"/>
          <w:szCs w:val="20"/>
        </w:rPr>
        <w:t xml:space="preserve">. </w:t>
      </w:r>
      <w:r w:rsidR="00731C2F" w:rsidRPr="00D90430">
        <w:rPr>
          <w:rFonts w:ascii="Verdana" w:hAnsi="Verdana"/>
          <w:sz w:val="20"/>
          <w:szCs w:val="20"/>
        </w:rPr>
        <w:t>De</w:t>
      </w:r>
      <w:r w:rsidRPr="00D90430">
        <w:rPr>
          <w:rFonts w:ascii="Verdana" w:hAnsi="Verdana"/>
          <w:sz w:val="20"/>
          <w:szCs w:val="20"/>
        </w:rPr>
        <w:t xml:space="preserve"> doels</w:t>
      </w:r>
      <w:r w:rsidR="00DC380C" w:rsidRPr="00D90430">
        <w:rPr>
          <w:rFonts w:ascii="Verdana" w:hAnsi="Verdana"/>
          <w:sz w:val="20"/>
          <w:szCs w:val="20"/>
        </w:rPr>
        <w:t>te</w:t>
      </w:r>
      <w:r w:rsidRPr="00D90430">
        <w:rPr>
          <w:rFonts w:ascii="Verdana" w:hAnsi="Verdana"/>
          <w:sz w:val="20"/>
          <w:szCs w:val="20"/>
        </w:rPr>
        <w:t xml:space="preserve">lling dat het </w:t>
      </w:r>
      <w:r w:rsidR="00731C2F" w:rsidRPr="00D90430">
        <w:rPr>
          <w:rFonts w:ascii="Verdana" w:hAnsi="Verdana"/>
          <w:sz w:val="20"/>
          <w:szCs w:val="20"/>
        </w:rPr>
        <w:t>mobili</w:t>
      </w:r>
      <w:r w:rsidR="00C9695A" w:rsidRPr="00D90430">
        <w:rPr>
          <w:rFonts w:ascii="Verdana" w:hAnsi="Verdana"/>
          <w:sz w:val="20"/>
          <w:szCs w:val="20"/>
        </w:rPr>
        <w:t>t</w:t>
      </w:r>
      <w:r w:rsidR="00731C2F" w:rsidRPr="00D90430">
        <w:rPr>
          <w:rFonts w:ascii="Verdana" w:hAnsi="Verdana"/>
          <w:sz w:val="20"/>
          <w:szCs w:val="20"/>
        </w:rPr>
        <w:t xml:space="preserve">eitsbeleid </w:t>
      </w:r>
      <w:r w:rsidRPr="00D90430">
        <w:rPr>
          <w:rFonts w:ascii="Verdana" w:hAnsi="Verdana"/>
          <w:sz w:val="20"/>
          <w:szCs w:val="20"/>
        </w:rPr>
        <w:t>elke b</w:t>
      </w:r>
      <w:r w:rsidR="00731C2F" w:rsidRPr="00D90430">
        <w:rPr>
          <w:rFonts w:ascii="Verdana" w:hAnsi="Verdana"/>
          <w:sz w:val="20"/>
          <w:szCs w:val="20"/>
        </w:rPr>
        <w:t>ur</w:t>
      </w:r>
      <w:r w:rsidRPr="00D90430">
        <w:rPr>
          <w:rFonts w:ascii="Verdana" w:hAnsi="Verdana"/>
          <w:sz w:val="20"/>
          <w:szCs w:val="20"/>
        </w:rPr>
        <w:t xml:space="preserve">ger in staat </w:t>
      </w:r>
      <w:r w:rsidR="00731C2F" w:rsidRPr="00D90430">
        <w:rPr>
          <w:rFonts w:ascii="Verdana" w:hAnsi="Verdana"/>
          <w:sz w:val="20"/>
          <w:szCs w:val="20"/>
        </w:rPr>
        <w:t xml:space="preserve">moet </w:t>
      </w:r>
      <w:r w:rsidRPr="00D90430">
        <w:rPr>
          <w:rFonts w:ascii="Verdana" w:hAnsi="Verdana"/>
          <w:sz w:val="20"/>
          <w:szCs w:val="20"/>
        </w:rPr>
        <w:t>stellen om deel te nemen aan de samenleving</w:t>
      </w:r>
      <w:r w:rsidR="00DC380C" w:rsidRPr="00D90430">
        <w:rPr>
          <w:rFonts w:ascii="Verdana" w:hAnsi="Verdana"/>
          <w:sz w:val="20"/>
          <w:szCs w:val="20"/>
        </w:rPr>
        <w:t>, los van de directe economische waarde dat dit oplevert</w:t>
      </w:r>
      <w:r w:rsidR="00731C2F" w:rsidRPr="00D90430">
        <w:rPr>
          <w:rFonts w:ascii="Verdana" w:hAnsi="Verdana"/>
          <w:sz w:val="20"/>
          <w:szCs w:val="20"/>
        </w:rPr>
        <w:t>, zou niet ter discussie mogen staan.</w:t>
      </w:r>
      <w:r w:rsidR="0098767B" w:rsidRPr="00D90430">
        <w:rPr>
          <w:rFonts w:ascii="Verdana" w:hAnsi="Verdana"/>
          <w:sz w:val="20"/>
          <w:szCs w:val="20"/>
        </w:rPr>
        <w:t xml:space="preserve"> In de </w:t>
      </w:r>
      <w:proofErr w:type="spellStart"/>
      <w:r w:rsidR="002401B2">
        <w:rPr>
          <w:rFonts w:ascii="Verdana" w:hAnsi="Verdana"/>
          <w:sz w:val="20"/>
          <w:szCs w:val="20"/>
        </w:rPr>
        <w:t>MvT</w:t>
      </w:r>
      <w:proofErr w:type="spellEnd"/>
      <w:r w:rsidR="0098767B" w:rsidRPr="00D90430">
        <w:rPr>
          <w:rFonts w:ascii="Verdana" w:hAnsi="Verdana"/>
          <w:sz w:val="20"/>
          <w:szCs w:val="20"/>
        </w:rPr>
        <w:t xml:space="preserve"> komt de sociale doelstellinge</w:t>
      </w:r>
      <w:r w:rsidR="00B434C9" w:rsidRPr="00D90430">
        <w:rPr>
          <w:rFonts w:ascii="Verdana" w:hAnsi="Verdana"/>
          <w:sz w:val="20"/>
          <w:szCs w:val="20"/>
        </w:rPr>
        <w:t>n</w:t>
      </w:r>
      <w:r w:rsidR="0098767B" w:rsidRPr="00D90430">
        <w:rPr>
          <w:rFonts w:ascii="Verdana" w:hAnsi="Verdana"/>
          <w:sz w:val="20"/>
          <w:szCs w:val="20"/>
        </w:rPr>
        <w:t xml:space="preserve"> wel aan bod </w:t>
      </w:r>
      <w:r w:rsidR="00310A89" w:rsidRPr="00D90430">
        <w:rPr>
          <w:rFonts w:ascii="Verdana" w:hAnsi="Verdana"/>
          <w:sz w:val="20"/>
          <w:szCs w:val="20"/>
        </w:rPr>
        <w:t>(</w:t>
      </w:r>
      <w:r w:rsidR="0098767B" w:rsidRPr="00D90430">
        <w:rPr>
          <w:rFonts w:ascii="Verdana" w:hAnsi="Verdana"/>
          <w:i/>
          <w:sz w:val="20"/>
          <w:szCs w:val="20"/>
        </w:rPr>
        <w:t>“Iedereen moet z</w:t>
      </w:r>
      <w:r w:rsidR="00B434C9" w:rsidRPr="00D90430">
        <w:rPr>
          <w:rFonts w:ascii="Verdana" w:hAnsi="Verdana"/>
          <w:i/>
          <w:sz w:val="20"/>
          <w:szCs w:val="20"/>
        </w:rPr>
        <w:t>ic</w:t>
      </w:r>
      <w:r w:rsidR="0098767B" w:rsidRPr="00D90430">
        <w:rPr>
          <w:rFonts w:ascii="Verdana" w:hAnsi="Verdana"/>
          <w:i/>
          <w:sz w:val="20"/>
          <w:szCs w:val="20"/>
        </w:rPr>
        <w:t xml:space="preserve">h kunnen ontplooien, werken, naar school gaan, </w:t>
      </w:r>
      <w:r w:rsidR="00B434C9" w:rsidRPr="00D90430">
        <w:rPr>
          <w:rFonts w:ascii="Verdana" w:hAnsi="Verdana"/>
          <w:i/>
          <w:sz w:val="20"/>
          <w:szCs w:val="20"/>
        </w:rPr>
        <w:t>spelen, winkelen en ontspannen”</w:t>
      </w:r>
      <w:r w:rsidR="00310A89" w:rsidRPr="00D90430">
        <w:rPr>
          <w:rFonts w:ascii="Verdana" w:hAnsi="Verdana"/>
          <w:i/>
          <w:sz w:val="20"/>
          <w:szCs w:val="20"/>
        </w:rPr>
        <w:t xml:space="preserve">). </w:t>
      </w:r>
      <w:r w:rsidR="00B434C9" w:rsidRPr="00D90430">
        <w:rPr>
          <w:rFonts w:ascii="Verdana" w:hAnsi="Verdana"/>
          <w:i/>
          <w:sz w:val="20"/>
          <w:szCs w:val="20"/>
        </w:rPr>
        <w:t xml:space="preserve"> </w:t>
      </w:r>
      <w:r w:rsidR="00B434C9" w:rsidRPr="00D90430">
        <w:rPr>
          <w:rFonts w:ascii="Verdana" w:hAnsi="Verdana"/>
          <w:sz w:val="20"/>
          <w:szCs w:val="20"/>
        </w:rPr>
        <w:t xml:space="preserve">Dit wordt </w:t>
      </w:r>
      <w:r w:rsidR="00F6103C" w:rsidRPr="00D90430">
        <w:rPr>
          <w:rFonts w:ascii="Verdana" w:hAnsi="Verdana"/>
          <w:sz w:val="20"/>
          <w:szCs w:val="20"/>
        </w:rPr>
        <w:t>echter</w:t>
      </w:r>
      <w:r w:rsidR="00B434C9" w:rsidRPr="00D90430">
        <w:rPr>
          <w:rFonts w:ascii="Verdana" w:hAnsi="Verdana"/>
          <w:sz w:val="20"/>
          <w:szCs w:val="20"/>
        </w:rPr>
        <w:t xml:space="preserve"> niet vertaald in het decreet zelf.</w:t>
      </w:r>
    </w:p>
    <w:p w:rsidR="00DC380C" w:rsidRPr="00D90430" w:rsidRDefault="00DC380C">
      <w:pPr>
        <w:rPr>
          <w:rFonts w:ascii="Verdana" w:hAnsi="Verdana"/>
          <w:sz w:val="20"/>
          <w:szCs w:val="20"/>
        </w:rPr>
      </w:pPr>
    </w:p>
    <w:p w:rsidR="00901A45" w:rsidRPr="00D90430" w:rsidRDefault="00901A45">
      <w:pPr>
        <w:rPr>
          <w:rFonts w:ascii="Verdana" w:hAnsi="Verdana"/>
          <w:b/>
          <w:sz w:val="20"/>
          <w:szCs w:val="20"/>
        </w:rPr>
      </w:pPr>
      <w:r w:rsidRPr="00D90430">
        <w:rPr>
          <w:rFonts w:ascii="Verdana" w:hAnsi="Verdana"/>
          <w:b/>
          <w:sz w:val="20"/>
          <w:szCs w:val="20"/>
        </w:rPr>
        <w:t>Artikel 4</w:t>
      </w:r>
    </w:p>
    <w:p w:rsidR="00901A45" w:rsidRPr="00D90430" w:rsidRDefault="00901A45">
      <w:pPr>
        <w:rPr>
          <w:rFonts w:ascii="Verdana" w:hAnsi="Verdana"/>
          <w:sz w:val="20"/>
          <w:szCs w:val="20"/>
        </w:rPr>
      </w:pPr>
    </w:p>
    <w:p w:rsidR="00901A45" w:rsidRPr="00D90430" w:rsidRDefault="00DC380C" w:rsidP="00C9695A">
      <w:pPr>
        <w:pStyle w:val="Lijstalinea"/>
        <w:numPr>
          <w:ilvl w:val="0"/>
          <w:numId w:val="18"/>
        </w:numPr>
        <w:ind w:left="426" w:hanging="426"/>
        <w:rPr>
          <w:rFonts w:ascii="Verdana" w:hAnsi="Verdana"/>
          <w:sz w:val="20"/>
          <w:szCs w:val="20"/>
        </w:rPr>
      </w:pPr>
      <w:r w:rsidRPr="00D90430">
        <w:rPr>
          <w:rFonts w:ascii="Verdana" w:hAnsi="Verdana"/>
          <w:i/>
          <w:sz w:val="20"/>
          <w:szCs w:val="20"/>
        </w:rPr>
        <w:t>“</w:t>
      </w:r>
      <w:r w:rsidR="00901A45" w:rsidRPr="00D90430">
        <w:rPr>
          <w:rFonts w:ascii="Verdana" w:hAnsi="Verdana"/>
          <w:i/>
          <w:sz w:val="20"/>
          <w:szCs w:val="20"/>
        </w:rPr>
        <w:t>Waarbij er zoveel als mogelijk uitgegaan wordt van het STOP-principe.</w:t>
      </w:r>
      <w:r w:rsidRPr="00D90430">
        <w:rPr>
          <w:rFonts w:ascii="Verdana" w:hAnsi="Verdana"/>
          <w:i/>
          <w:sz w:val="20"/>
          <w:szCs w:val="20"/>
        </w:rPr>
        <w:t>”</w:t>
      </w:r>
      <w:r w:rsidR="00C9695A" w:rsidRPr="00D90430">
        <w:rPr>
          <w:rFonts w:ascii="Verdana" w:hAnsi="Verdana"/>
          <w:i/>
          <w:sz w:val="20"/>
          <w:szCs w:val="20"/>
        </w:rPr>
        <w:t xml:space="preserve"> </w:t>
      </w:r>
      <w:r w:rsidR="00F6103C" w:rsidRPr="00D90430">
        <w:rPr>
          <w:rFonts w:ascii="Verdana" w:hAnsi="Verdana"/>
          <w:i/>
          <w:sz w:val="20"/>
          <w:szCs w:val="20"/>
        </w:rPr>
        <w:t>“</w:t>
      </w:r>
      <w:r w:rsidR="00C9695A" w:rsidRPr="00D90430">
        <w:rPr>
          <w:rFonts w:ascii="Verdana" w:hAnsi="Verdana"/>
          <w:sz w:val="20"/>
          <w:szCs w:val="20"/>
        </w:rPr>
        <w:t>Zoveel als mogelijk</w:t>
      </w:r>
      <w:r w:rsidR="00F6103C" w:rsidRPr="00D90430">
        <w:rPr>
          <w:rFonts w:ascii="Verdana" w:hAnsi="Verdana"/>
          <w:sz w:val="20"/>
          <w:szCs w:val="20"/>
        </w:rPr>
        <w:t>”</w:t>
      </w:r>
      <w:r w:rsidR="00C9695A" w:rsidRPr="00D90430">
        <w:rPr>
          <w:rFonts w:ascii="Verdana" w:hAnsi="Verdana"/>
          <w:sz w:val="20"/>
          <w:szCs w:val="20"/>
        </w:rPr>
        <w:t xml:space="preserve"> laat veel ruimte tot interpretatie.</w:t>
      </w:r>
    </w:p>
    <w:p w:rsidR="00901A45" w:rsidRPr="00D90430" w:rsidRDefault="00C9695A" w:rsidP="00C9695A">
      <w:pPr>
        <w:pStyle w:val="Lijstalinea"/>
        <w:numPr>
          <w:ilvl w:val="0"/>
          <w:numId w:val="18"/>
        </w:numPr>
        <w:ind w:left="426" w:hanging="426"/>
        <w:rPr>
          <w:rFonts w:ascii="Verdana" w:hAnsi="Verdana"/>
          <w:sz w:val="20"/>
          <w:szCs w:val="20"/>
        </w:rPr>
      </w:pPr>
      <w:r w:rsidRPr="00D90430">
        <w:rPr>
          <w:rFonts w:ascii="Verdana" w:hAnsi="Verdana"/>
          <w:i/>
          <w:sz w:val="20"/>
          <w:szCs w:val="20"/>
        </w:rPr>
        <w:t>“</w:t>
      </w:r>
      <w:r w:rsidR="00901A45" w:rsidRPr="00D90430">
        <w:rPr>
          <w:rFonts w:ascii="Verdana" w:hAnsi="Verdana"/>
          <w:i/>
          <w:sz w:val="20"/>
          <w:szCs w:val="20"/>
        </w:rPr>
        <w:t>Zorgen voor een vlotte doorstroming van elke vervoersmodus</w:t>
      </w:r>
      <w:r w:rsidRPr="00D90430">
        <w:rPr>
          <w:rFonts w:ascii="Verdana" w:hAnsi="Verdana"/>
          <w:i/>
          <w:sz w:val="20"/>
          <w:szCs w:val="20"/>
        </w:rPr>
        <w:t>”</w:t>
      </w:r>
      <w:r w:rsidR="00901A45" w:rsidRPr="00D90430">
        <w:rPr>
          <w:rFonts w:ascii="Verdana" w:hAnsi="Verdana"/>
          <w:i/>
          <w:sz w:val="20"/>
          <w:szCs w:val="20"/>
        </w:rPr>
        <w:t>:</w:t>
      </w:r>
      <w:r w:rsidR="00901A45" w:rsidRPr="00D90430">
        <w:rPr>
          <w:rFonts w:ascii="Verdana" w:hAnsi="Verdana"/>
          <w:sz w:val="20"/>
          <w:szCs w:val="20"/>
        </w:rPr>
        <w:t xml:space="preserve"> Vraag is of het wenselijk is om elke vervoersmodus onafhankelijk van tijd en plaats te laten doorst</w:t>
      </w:r>
      <w:r w:rsidR="00917399">
        <w:rPr>
          <w:rFonts w:ascii="Verdana" w:hAnsi="Verdana"/>
          <w:sz w:val="20"/>
          <w:szCs w:val="20"/>
        </w:rPr>
        <w:t>r</w:t>
      </w:r>
      <w:r w:rsidR="00901A45" w:rsidRPr="00D90430">
        <w:rPr>
          <w:rFonts w:ascii="Verdana" w:hAnsi="Verdana"/>
          <w:sz w:val="20"/>
          <w:szCs w:val="20"/>
        </w:rPr>
        <w:t xml:space="preserve">omen. De doorstroming moet </w:t>
      </w:r>
      <w:r w:rsidRPr="00D90430">
        <w:rPr>
          <w:rFonts w:ascii="Verdana" w:hAnsi="Verdana"/>
          <w:sz w:val="20"/>
          <w:szCs w:val="20"/>
        </w:rPr>
        <w:t>selectief bepaald worden. Het is niet mogelijk of wenselijk om elke vervoersmodus op elke plaats en op elk tijdstip een hoge graad van doorstroming te garanderen.</w:t>
      </w:r>
      <w:r w:rsidR="00901A45" w:rsidRPr="00D90430">
        <w:rPr>
          <w:rFonts w:ascii="Verdana" w:hAnsi="Verdana"/>
          <w:sz w:val="20"/>
          <w:szCs w:val="20"/>
        </w:rPr>
        <w:t xml:space="preserve"> </w:t>
      </w:r>
    </w:p>
    <w:p w:rsidR="00FD7E59" w:rsidRPr="00D90430" w:rsidRDefault="00C9695A" w:rsidP="00C9695A">
      <w:pPr>
        <w:pStyle w:val="Lijstalinea"/>
        <w:numPr>
          <w:ilvl w:val="0"/>
          <w:numId w:val="18"/>
        </w:numPr>
        <w:ind w:left="426" w:hanging="426"/>
        <w:rPr>
          <w:rFonts w:ascii="Verdana" w:hAnsi="Verdana"/>
          <w:sz w:val="20"/>
          <w:szCs w:val="20"/>
        </w:rPr>
      </w:pPr>
      <w:r w:rsidRPr="00D90430">
        <w:rPr>
          <w:rFonts w:ascii="Verdana" w:eastAsia="Times New Roman" w:hAnsi="Verdana"/>
          <w:i/>
          <w:spacing w:val="-3"/>
          <w:sz w:val="20"/>
          <w:szCs w:val="20"/>
          <w:lang w:eastAsia="nl-NL"/>
        </w:rPr>
        <w:t>“</w:t>
      </w:r>
      <w:r w:rsidR="00FD7E59" w:rsidRPr="00D90430">
        <w:rPr>
          <w:rFonts w:ascii="Verdana" w:eastAsia="Times New Roman" w:hAnsi="Verdana"/>
          <w:i/>
          <w:spacing w:val="-3"/>
          <w:sz w:val="20"/>
          <w:szCs w:val="20"/>
          <w:lang w:eastAsia="nl-NL"/>
        </w:rPr>
        <w:t>Het Vlaamse verkeersveiligheidsbeleid investeert voluit in de veiligheid en de kwaliteit van de wegen en hun aanhorigheden. We laten ons hierbij leiden door het STOP-principe.</w:t>
      </w:r>
      <w:r w:rsidRPr="00D90430">
        <w:rPr>
          <w:rFonts w:ascii="Verdana" w:eastAsia="Times New Roman" w:hAnsi="Verdana"/>
          <w:i/>
          <w:spacing w:val="-3"/>
          <w:sz w:val="20"/>
          <w:szCs w:val="20"/>
          <w:lang w:eastAsia="nl-NL"/>
        </w:rPr>
        <w:t xml:space="preserve">” </w:t>
      </w:r>
      <w:r w:rsidR="00FD7E59" w:rsidRPr="00D90430">
        <w:rPr>
          <w:rFonts w:ascii="Verdana" w:hAnsi="Verdana"/>
          <w:sz w:val="20"/>
          <w:szCs w:val="20"/>
        </w:rPr>
        <w:t>Word</w:t>
      </w:r>
      <w:r w:rsidRPr="00D90430">
        <w:rPr>
          <w:rFonts w:ascii="Verdana" w:hAnsi="Verdana"/>
          <w:sz w:val="20"/>
          <w:szCs w:val="20"/>
        </w:rPr>
        <w:t>t</w:t>
      </w:r>
      <w:r w:rsidR="00FD7E59" w:rsidRPr="00D90430">
        <w:rPr>
          <w:rFonts w:ascii="Verdana" w:hAnsi="Verdana"/>
          <w:sz w:val="20"/>
          <w:szCs w:val="20"/>
        </w:rPr>
        <w:t xml:space="preserve"> de toepassing van het STOP-principe enkel beperkt tot het verkeersveil</w:t>
      </w:r>
      <w:r w:rsidR="00C8095D" w:rsidRPr="00D90430">
        <w:rPr>
          <w:rFonts w:ascii="Verdana" w:hAnsi="Verdana"/>
          <w:sz w:val="20"/>
          <w:szCs w:val="20"/>
        </w:rPr>
        <w:t>i</w:t>
      </w:r>
      <w:r w:rsidR="00FD7E59" w:rsidRPr="00D90430">
        <w:rPr>
          <w:rFonts w:ascii="Verdana" w:hAnsi="Verdana"/>
          <w:sz w:val="20"/>
          <w:szCs w:val="20"/>
        </w:rPr>
        <w:t>gheidsbeleid? Ook vanuit verkeersleefbaarhe</w:t>
      </w:r>
      <w:r w:rsidR="00572DBD" w:rsidRPr="00D90430">
        <w:rPr>
          <w:rFonts w:ascii="Verdana" w:hAnsi="Verdana"/>
          <w:sz w:val="20"/>
          <w:szCs w:val="20"/>
        </w:rPr>
        <w:t>id</w:t>
      </w:r>
      <w:r w:rsidR="00FD7E59" w:rsidRPr="00D90430">
        <w:rPr>
          <w:rFonts w:ascii="Verdana" w:hAnsi="Verdana"/>
          <w:sz w:val="20"/>
          <w:szCs w:val="20"/>
        </w:rPr>
        <w:t xml:space="preserve"> kan het STOP-principe worden toege</w:t>
      </w:r>
      <w:r w:rsidR="00110538" w:rsidRPr="00D90430">
        <w:rPr>
          <w:rFonts w:ascii="Verdana" w:hAnsi="Verdana"/>
          <w:sz w:val="20"/>
          <w:szCs w:val="20"/>
        </w:rPr>
        <w:t>p</w:t>
      </w:r>
      <w:r w:rsidR="00C8095D" w:rsidRPr="00D90430">
        <w:rPr>
          <w:rFonts w:ascii="Verdana" w:hAnsi="Verdana"/>
          <w:sz w:val="20"/>
          <w:szCs w:val="20"/>
        </w:rPr>
        <w:t>a</w:t>
      </w:r>
      <w:r w:rsidR="00FD7E59" w:rsidRPr="00D90430">
        <w:rPr>
          <w:rFonts w:ascii="Verdana" w:hAnsi="Verdana"/>
          <w:sz w:val="20"/>
          <w:szCs w:val="20"/>
        </w:rPr>
        <w:t>st</w:t>
      </w:r>
      <w:r w:rsidRPr="00D90430">
        <w:rPr>
          <w:rFonts w:ascii="Verdana" w:hAnsi="Verdana"/>
          <w:sz w:val="20"/>
          <w:szCs w:val="20"/>
        </w:rPr>
        <w:t>.</w:t>
      </w:r>
    </w:p>
    <w:p w:rsidR="00FD7E59" w:rsidRPr="00D90430" w:rsidRDefault="00FD7E59">
      <w:pPr>
        <w:rPr>
          <w:rFonts w:ascii="Verdana" w:hAnsi="Verdana"/>
          <w:sz w:val="20"/>
          <w:szCs w:val="20"/>
        </w:rPr>
      </w:pPr>
    </w:p>
    <w:p w:rsidR="00901A45" w:rsidRPr="00D90430" w:rsidRDefault="00901A45">
      <w:pPr>
        <w:rPr>
          <w:rFonts w:ascii="Verdana" w:hAnsi="Verdana"/>
          <w:b/>
          <w:sz w:val="20"/>
          <w:szCs w:val="20"/>
        </w:rPr>
      </w:pPr>
      <w:r w:rsidRPr="00D90430">
        <w:rPr>
          <w:rFonts w:ascii="Verdana" w:hAnsi="Verdana"/>
          <w:b/>
          <w:sz w:val="20"/>
          <w:szCs w:val="20"/>
        </w:rPr>
        <w:t>Artikel 5</w:t>
      </w:r>
    </w:p>
    <w:p w:rsidR="00901A45" w:rsidRPr="00D90430" w:rsidRDefault="00901A45">
      <w:pPr>
        <w:rPr>
          <w:rFonts w:ascii="Verdana" w:hAnsi="Verdana"/>
          <w:sz w:val="20"/>
          <w:szCs w:val="20"/>
        </w:rPr>
      </w:pPr>
    </w:p>
    <w:p w:rsidR="00901A45" w:rsidRPr="00D90430" w:rsidRDefault="00901A45" w:rsidP="00C9695A">
      <w:pPr>
        <w:pStyle w:val="Lijstalinea"/>
        <w:numPr>
          <w:ilvl w:val="0"/>
          <w:numId w:val="12"/>
        </w:numPr>
        <w:ind w:left="426"/>
        <w:rPr>
          <w:rFonts w:ascii="Verdana" w:hAnsi="Verdana"/>
          <w:sz w:val="20"/>
          <w:szCs w:val="20"/>
        </w:rPr>
      </w:pPr>
      <w:r w:rsidRPr="00D90430">
        <w:rPr>
          <w:rFonts w:ascii="Verdana" w:hAnsi="Verdana"/>
          <w:sz w:val="20"/>
          <w:szCs w:val="20"/>
        </w:rPr>
        <w:t>In artikel 5 duikt de term “collectief aangeboden vervoer” op. Wat is het onderscheid met openbaar personenvervoer</w:t>
      </w:r>
      <w:r w:rsidR="00CC7406" w:rsidRPr="00D90430">
        <w:rPr>
          <w:rFonts w:ascii="Verdana" w:hAnsi="Verdana"/>
          <w:sz w:val="20"/>
          <w:szCs w:val="20"/>
        </w:rPr>
        <w:t xml:space="preserve">. Wordt </w:t>
      </w:r>
      <w:r w:rsidR="00A521B5" w:rsidRPr="00D90430">
        <w:rPr>
          <w:rFonts w:ascii="Verdana" w:hAnsi="Verdana"/>
          <w:sz w:val="20"/>
          <w:szCs w:val="20"/>
        </w:rPr>
        <w:t>een definitie van “collectief aangeboden vervoer” beter niet opgenomen in artikel 2 om het onderscheid met geregeld en openbaar personenvervoer duidelijk te maken?</w:t>
      </w:r>
    </w:p>
    <w:p w:rsidR="00852FCA" w:rsidRPr="00D90430" w:rsidRDefault="00852FCA" w:rsidP="00C9695A">
      <w:pPr>
        <w:pStyle w:val="Lijstalinea"/>
        <w:numPr>
          <w:ilvl w:val="0"/>
          <w:numId w:val="12"/>
        </w:numPr>
        <w:ind w:left="426"/>
        <w:rPr>
          <w:rFonts w:ascii="Verdana" w:hAnsi="Verdana"/>
          <w:sz w:val="20"/>
          <w:szCs w:val="20"/>
        </w:rPr>
      </w:pPr>
      <w:r w:rsidRPr="00D90430">
        <w:rPr>
          <w:rFonts w:ascii="Verdana" w:hAnsi="Verdana"/>
          <w:sz w:val="20"/>
          <w:szCs w:val="20"/>
        </w:rPr>
        <w:t xml:space="preserve">In de </w:t>
      </w:r>
      <w:proofErr w:type="spellStart"/>
      <w:r w:rsidR="002401B2">
        <w:rPr>
          <w:rFonts w:ascii="Verdana" w:hAnsi="Verdana"/>
          <w:sz w:val="20"/>
          <w:szCs w:val="20"/>
        </w:rPr>
        <w:t>MvT</w:t>
      </w:r>
      <w:proofErr w:type="spellEnd"/>
      <w:r w:rsidRPr="00D90430">
        <w:rPr>
          <w:rFonts w:ascii="Verdana" w:hAnsi="Verdana"/>
          <w:sz w:val="20"/>
          <w:szCs w:val="20"/>
        </w:rPr>
        <w:t xml:space="preserve"> staat dat het st</w:t>
      </w:r>
      <w:r w:rsidR="00310A89" w:rsidRPr="00D90430">
        <w:rPr>
          <w:rFonts w:ascii="Verdana" w:hAnsi="Verdana"/>
          <w:sz w:val="20"/>
          <w:szCs w:val="20"/>
        </w:rPr>
        <w:t>r</w:t>
      </w:r>
      <w:r w:rsidRPr="00D90430">
        <w:rPr>
          <w:rFonts w:ascii="Verdana" w:hAnsi="Verdana"/>
          <w:sz w:val="20"/>
          <w:szCs w:val="20"/>
        </w:rPr>
        <w:t xml:space="preserve">even naar bereikbaarheid door een actief locatiebeleid als doelstelling mee is opgenomen. </w:t>
      </w:r>
      <w:r w:rsidR="00310A89" w:rsidRPr="00D90430">
        <w:rPr>
          <w:rFonts w:ascii="Verdana" w:hAnsi="Verdana"/>
          <w:sz w:val="20"/>
          <w:szCs w:val="20"/>
        </w:rPr>
        <w:t>In het artikel zelf ontbreekt echter de term</w:t>
      </w:r>
      <w:r w:rsidRPr="00D90430">
        <w:rPr>
          <w:rFonts w:ascii="Verdana" w:hAnsi="Verdana"/>
          <w:sz w:val="20"/>
          <w:szCs w:val="20"/>
        </w:rPr>
        <w:t xml:space="preserve"> “actief locatiebeleid”. Een aparte paragraaf verwijst wel naar de link met het ruimtelijk beleid.</w:t>
      </w:r>
    </w:p>
    <w:p w:rsidR="00852FCA" w:rsidRPr="00D90430" w:rsidRDefault="00852FCA" w:rsidP="00C9695A">
      <w:pPr>
        <w:pStyle w:val="Lijstalinea"/>
        <w:numPr>
          <w:ilvl w:val="0"/>
          <w:numId w:val="12"/>
        </w:numPr>
        <w:ind w:left="426"/>
        <w:rPr>
          <w:rFonts w:ascii="Verdana" w:hAnsi="Verdana"/>
          <w:sz w:val="20"/>
          <w:szCs w:val="20"/>
        </w:rPr>
      </w:pPr>
      <w:r w:rsidRPr="00D90430">
        <w:rPr>
          <w:rFonts w:ascii="Verdana" w:hAnsi="Verdana"/>
          <w:sz w:val="20"/>
          <w:szCs w:val="20"/>
        </w:rPr>
        <w:t xml:space="preserve">§2 stipuleert dat de vervoerknooppunten die van belang zijn op het niveau van de vervoerregio worden bepaald in het regionaal mobiliteitsplan. </w:t>
      </w:r>
      <w:r w:rsidR="00F6103C" w:rsidRPr="00D90430">
        <w:rPr>
          <w:rFonts w:ascii="Verdana" w:hAnsi="Verdana"/>
          <w:sz w:val="20"/>
          <w:szCs w:val="20"/>
        </w:rPr>
        <w:t xml:space="preserve">Moet het decreet dan ook niet expliciteren waar </w:t>
      </w:r>
      <w:r w:rsidRPr="00D90430">
        <w:rPr>
          <w:rFonts w:ascii="Verdana" w:hAnsi="Verdana"/>
          <w:sz w:val="20"/>
          <w:szCs w:val="20"/>
        </w:rPr>
        <w:t xml:space="preserve">de vervoerknooppunten </w:t>
      </w:r>
      <w:r w:rsidR="00F6103C" w:rsidRPr="00D90430">
        <w:rPr>
          <w:rFonts w:ascii="Verdana" w:hAnsi="Verdana"/>
          <w:sz w:val="20"/>
          <w:szCs w:val="20"/>
        </w:rPr>
        <w:t xml:space="preserve">worden </w:t>
      </w:r>
      <w:r w:rsidRPr="00D90430">
        <w:rPr>
          <w:rFonts w:ascii="Verdana" w:hAnsi="Verdana"/>
          <w:sz w:val="20"/>
          <w:szCs w:val="20"/>
        </w:rPr>
        <w:t xml:space="preserve">bepaald die van belang zijn op Vlaams niveau? </w:t>
      </w:r>
    </w:p>
    <w:p w:rsidR="00901A45" w:rsidRPr="00D90430" w:rsidRDefault="00901A45">
      <w:pPr>
        <w:rPr>
          <w:rFonts w:ascii="Verdana" w:hAnsi="Verdana"/>
          <w:sz w:val="20"/>
          <w:szCs w:val="20"/>
        </w:rPr>
      </w:pPr>
    </w:p>
    <w:p w:rsidR="007E0F30" w:rsidRDefault="007E0F30">
      <w:pPr>
        <w:spacing w:after="160" w:line="259" w:lineRule="auto"/>
        <w:rPr>
          <w:rFonts w:ascii="Verdana" w:hAnsi="Verdana"/>
          <w:b/>
          <w:sz w:val="20"/>
          <w:szCs w:val="20"/>
        </w:rPr>
      </w:pPr>
      <w:r>
        <w:rPr>
          <w:rFonts w:ascii="Verdana" w:hAnsi="Verdana"/>
          <w:b/>
          <w:sz w:val="20"/>
          <w:szCs w:val="20"/>
        </w:rPr>
        <w:br w:type="page"/>
      </w:r>
    </w:p>
    <w:p w:rsidR="00A868C1" w:rsidRPr="00D90430" w:rsidRDefault="00A868C1">
      <w:pPr>
        <w:rPr>
          <w:rFonts w:ascii="Verdana" w:hAnsi="Verdana"/>
          <w:b/>
          <w:sz w:val="20"/>
          <w:szCs w:val="20"/>
        </w:rPr>
      </w:pPr>
      <w:r w:rsidRPr="00D90430">
        <w:rPr>
          <w:rFonts w:ascii="Verdana" w:hAnsi="Verdana"/>
          <w:b/>
          <w:sz w:val="20"/>
          <w:szCs w:val="20"/>
        </w:rPr>
        <w:lastRenderedPageBreak/>
        <w:t>Artikel 6</w:t>
      </w:r>
    </w:p>
    <w:p w:rsidR="00A868C1" w:rsidRPr="00D90430" w:rsidRDefault="00A868C1">
      <w:pPr>
        <w:rPr>
          <w:rFonts w:ascii="Verdana" w:hAnsi="Verdana"/>
          <w:sz w:val="20"/>
          <w:szCs w:val="20"/>
        </w:rPr>
      </w:pPr>
    </w:p>
    <w:p w:rsidR="00A868C1" w:rsidRPr="00D90430" w:rsidRDefault="00A868C1">
      <w:pPr>
        <w:rPr>
          <w:rFonts w:ascii="Verdana" w:hAnsi="Verdana"/>
          <w:sz w:val="20"/>
          <w:szCs w:val="20"/>
        </w:rPr>
      </w:pPr>
      <w:r w:rsidRPr="00D90430">
        <w:rPr>
          <w:rFonts w:ascii="Verdana" w:hAnsi="Verdana"/>
          <w:sz w:val="20"/>
          <w:szCs w:val="20"/>
        </w:rPr>
        <w:t xml:space="preserve">De bepaling in de </w:t>
      </w:r>
      <w:proofErr w:type="spellStart"/>
      <w:r w:rsidRPr="00D90430">
        <w:rPr>
          <w:rFonts w:ascii="Verdana" w:hAnsi="Verdana"/>
          <w:sz w:val="20"/>
          <w:szCs w:val="20"/>
        </w:rPr>
        <w:t>M</w:t>
      </w:r>
      <w:r w:rsidR="00DC5F82" w:rsidRPr="00D90430">
        <w:rPr>
          <w:rFonts w:ascii="Verdana" w:hAnsi="Verdana"/>
          <w:sz w:val="20"/>
          <w:szCs w:val="20"/>
        </w:rPr>
        <w:t>vT</w:t>
      </w:r>
      <w:proofErr w:type="spellEnd"/>
      <w:r w:rsidRPr="00D90430">
        <w:rPr>
          <w:rFonts w:ascii="Verdana" w:hAnsi="Verdana"/>
          <w:sz w:val="20"/>
          <w:szCs w:val="20"/>
        </w:rPr>
        <w:t xml:space="preserve"> dat een gemeente als waarnemer kan deelnemen aan de VVR van een aanpalende regio is niet opgenomen in het decreet. Komt dit in het UB? Kan trouwens elke gemeenten van een VVR als waarnemer deelnemen aan de bespreking van een aanpalende regio of enkel de gemeenten die grenzen aan die aanpalende regio?</w:t>
      </w:r>
    </w:p>
    <w:p w:rsidR="00A868C1" w:rsidRPr="00D90430" w:rsidRDefault="00A868C1">
      <w:pPr>
        <w:rPr>
          <w:rFonts w:ascii="Verdana" w:hAnsi="Verdana"/>
          <w:sz w:val="20"/>
          <w:szCs w:val="20"/>
        </w:rPr>
      </w:pPr>
    </w:p>
    <w:p w:rsidR="004D205F" w:rsidRPr="00D90430" w:rsidRDefault="00875F3A">
      <w:pPr>
        <w:rPr>
          <w:rFonts w:ascii="Verdana" w:hAnsi="Verdana"/>
          <w:b/>
          <w:sz w:val="20"/>
          <w:szCs w:val="20"/>
        </w:rPr>
      </w:pPr>
      <w:r w:rsidRPr="00D90430">
        <w:rPr>
          <w:rFonts w:ascii="Verdana" w:hAnsi="Verdana"/>
          <w:b/>
          <w:sz w:val="20"/>
          <w:szCs w:val="20"/>
        </w:rPr>
        <w:t>Artikel 7</w:t>
      </w:r>
    </w:p>
    <w:p w:rsidR="00875F3A" w:rsidRPr="00D90430" w:rsidRDefault="00875F3A">
      <w:pPr>
        <w:rPr>
          <w:rFonts w:ascii="Verdana" w:hAnsi="Verdana"/>
          <w:sz w:val="20"/>
          <w:szCs w:val="20"/>
        </w:rPr>
      </w:pPr>
    </w:p>
    <w:p w:rsidR="00B97149" w:rsidRDefault="00B97149" w:rsidP="00B97149">
      <w:pPr>
        <w:rPr>
          <w:rFonts w:ascii="Verdana" w:hAnsi="Verdana"/>
          <w:b/>
          <w:sz w:val="20"/>
          <w:szCs w:val="20"/>
        </w:rPr>
      </w:pPr>
      <w:r>
        <w:rPr>
          <w:rFonts w:ascii="Verdana" w:hAnsi="Verdana"/>
          <w:sz w:val="20"/>
          <w:szCs w:val="20"/>
        </w:rPr>
        <w:t>Zie punt 2. Opmerkingen over de rol van de provincie.</w:t>
      </w:r>
    </w:p>
    <w:p w:rsidR="00B97149" w:rsidRDefault="00B97149">
      <w:pPr>
        <w:spacing w:after="160" w:line="259" w:lineRule="auto"/>
        <w:rPr>
          <w:rFonts w:ascii="Verdana" w:hAnsi="Verdana"/>
          <w:b/>
          <w:sz w:val="20"/>
          <w:szCs w:val="20"/>
        </w:rPr>
      </w:pPr>
    </w:p>
    <w:p w:rsidR="00875F3A" w:rsidRPr="00D90430" w:rsidRDefault="00875F3A">
      <w:pPr>
        <w:rPr>
          <w:rFonts w:ascii="Verdana" w:hAnsi="Verdana"/>
          <w:b/>
          <w:sz w:val="20"/>
          <w:szCs w:val="20"/>
        </w:rPr>
      </w:pPr>
      <w:r w:rsidRPr="00D90430">
        <w:rPr>
          <w:rFonts w:ascii="Verdana" w:hAnsi="Verdana"/>
          <w:b/>
          <w:sz w:val="20"/>
          <w:szCs w:val="20"/>
        </w:rPr>
        <w:t>Art 8</w:t>
      </w:r>
    </w:p>
    <w:p w:rsidR="00875F3A" w:rsidRPr="00D90430" w:rsidRDefault="00875F3A">
      <w:pPr>
        <w:rPr>
          <w:rFonts w:ascii="Verdana" w:hAnsi="Verdana"/>
          <w:sz w:val="20"/>
          <w:szCs w:val="20"/>
        </w:rPr>
      </w:pPr>
    </w:p>
    <w:p w:rsidR="00EB5E38" w:rsidRPr="00D90430" w:rsidRDefault="00EB5E38" w:rsidP="00FE5A12">
      <w:pPr>
        <w:pStyle w:val="Lijstalinea"/>
        <w:numPr>
          <w:ilvl w:val="0"/>
          <w:numId w:val="19"/>
        </w:numPr>
        <w:ind w:left="426"/>
        <w:rPr>
          <w:rFonts w:ascii="Verdana" w:hAnsi="Verdana"/>
          <w:sz w:val="20"/>
          <w:szCs w:val="20"/>
        </w:rPr>
      </w:pPr>
      <w:r w:rsidRPr="00D90430">
        <w:rPr>
          <w:rFonts w:ascii="Verdana" w:hAnsi="Verdana"/>
          <w:sz w:val="20"/>
          <w:szCs w:val="20"/>
        </w:rPr>
        <w:t>In de opso</w:t>
      </w:r>
      <w:r w:rsidR="00ED36B4" w:rsidRPr="00D90430">
        <w:rPr>
          <w:rFonts w:ascii="Verdana" w:hAnsi="Verdana"/>
          <w:sz w:val="20"/>
          <w:szCs w:val="20"/>
        </w:rPr>
        <w:t>m</w:t>
      </w:r>
      <w:r w:rsidRPr="00D90430">
        <w:rPr>
          <w:rFonts w:ascii="Verdana" w:hAnsi="Verdana"/>
          <w:sz w:val="20"/>
          <w:szCs w:val="20"/>
        </w:rPr>
        <w:t>ming van de taken on</w:t>
      </w:r>
      <w:r w:rsidR="00272C92" w:rsidRPr="00D90430">
        <w:rPr>
          <w:rFonts w:ascii="Verdana" w:hAnsi="Verdana"/>
          <w:sz w:val="20"/>
          <w:szCs w:val="20"/>
        </w:rPr>
        <w:t>t</w:t>
      </w:r>
      <w:r w:rsidRPr="00D90430">
        <w:rPr>
          <w:rFonts w:ascii="Verdana" w:hAnsi="Verdana"/>
          <w:sz w:val="20"/>
          <w:szCs w:val="20"/>
        </w:rPr>
        <w:t>b</w:t>
      </w:r>
      <w:r w:rsidR="00272C92" w:rsidRPr="00D90430">
        <w:rPr>
          <w:rFonts w:ascii="Verdana" w:hAnsi="Verdana"/>
          <w:sz w:val="20"/>
          <w:szCs w:val="20"/>
        </w:rPr>
        <w:t>r</w:t>
      </w:r>
      <w:r w:rsidRPr="00D90430">
        <w:rPr>
          <w:rFonts w:ascii="Verdana" w:hAnsi="Verdana"/>
          <w:sz w:val="20"/>
          <w:szCs w:val="20"/>
        </w:rPr>
        <w:t>eekt dat de VVR o</w:t>
      </w:r>
      <w:r w:rsidR="00656BC3" w:rsidRPr="00D90430">
        <w:rPr>
          <w:rFonts w:ascii="Verdana" w:hAnsi="Verdana"/>
          <w:sz w:val="20"/>
          <w:szCs w:val="20"/>
        </w:rPr>
        <w:t>o</w:t>
      </w:r>
      <w:r w:rsidRPr="00D90430">
        <w:rPr>
          <w:rFonts w:ascii="Verdana" w:hAnsi="Verdana"/>
          <w:sz w:val="20"/>
          <w:szCs w:val="20"/>
        </w:rPr>
        <w:t xml:space="preserve">k maatregelen kan nemen voor </w:t>
      </w:r>
      <w:r w:rsidR="00ED36B4" w:rsidRPr="00D90430">
        <w:rPr>
          <w:rFonts w:ascii="Verdana" w:hAnsi="Verdana"/>
          <w:sz w:val="20"/>
          <w:szCs w:val="20"/>
        </w:rPr>
        <w:t>v</w:t>
      </w:r>
      <w:r w:rsidRPr="00D90430">
        <w:rPr>
          <w:rFonts w:ascii="Verdana" w:hAnsi="Verdana"/>
          <w:sz w:val="20"/>
          <w:szCs w:val="20"/>
        </w:rPr>
        <w:t>erkeersleefbaarheid.</w:t>
      </w:r>
    </w:p>
    <w:p w:rsidR="00875F3A" w:rsidRPr="00D90430" w:rsidRDefault="00875F3A" w:rsidP="00FE5A12">
      <w:pPr>
        <w:pStyle w:val="Lijstalinea"/>
        <w:numPr>
          <w:ilvl w:val="0"/>
          <w:numId w:val="19"/>
        </w:numPr>
        <w:ind w:left="426"/>
        <w:rPr>
          <w:rFonts w:ascii="Verdana" w:hAnsi="Verdana"/>
          <w:sz w:val="20"/>
          <w:szCs w:val="20"/>
        </w:rPr>
      </w:pPr>
      <w:r w:rsidRPr="00D90430">
        <w:rPr>
          <w:rFonts w:ascii="Verdana" w:hAnsi="Verdana"/>
          <w:sz w:val="20"/>
          <w:szCs w:val="20"/>
        </w:rPr>
        <w:t>De defini</w:t>
      </w:r>
      <w:r w:rsidR="00272C92" w:rsidRPr="00D90430">
        <w:rPr>
          <w:rFonts w:ascii="Verdana" w:hAnsi="Verdana"/>
          <w:sz w:val="20"/>
          <w:szCs w:val="20"/>
        </w:rPr>
        <w:t>ties</w:t>
      </w:r>
      <w:r w:rsidRPr="00D90430">
        <w:rPr>
          <w:rFonts w:ascii="Verdana" w:hAnsi="Verdana"/>
          <w:sz w:val="20"/>
          <w:szCs w:val="20"/>
        </w:rPr>
        <w:t xml:space="preserve"> van </w:t>
      </w:r>
      <w:r w:rsidR="00ED36B4" w:rsidRPr="00D90430">
        <w:rPr>
          <w:rFonts w:ascii="Verdana" w:hAnsi="Verdana"/>
          <w:sz w:val="20"/>
          <w:szCs w:val="20"/>
        </w:rPr>
        <w:t xml:space="preserve">het BFF en de </w:t>
      </w:r>
      <w:r w:rsidRPr="00D90430">
        <w:rPr>
          <w:rFonts w:ascii="Verdana" w:hAnsi="Verdana"/>
          <w:sz w:val="20"/>
          <w:szCs w:val="20"/>
        </w:rPr>
        <w:t xml:space="preserve">fietssnelwegen </w:t>
      </w:r>
      <w:r w:rsidR="00ED36B4" w:rsidRPr="00D90430">
        <w:rPr>
          <w:rFonts w:ascii="Verdana" w:hAnsi="Verdana"/>
          <w:sz w:val="20"/>
          <w:szCs w:val="20"/>
        </w:rPr>
        <w:t xml:space="preserve">zijn </w:t>
      </w:r>
      <w:r w:rsidRPr="00D90430">
        <w:rPr>
          <w:rFonts w:ascii="Verdana" w:hAnsi="Verdana"/>
          <w:sz w:val="20"/>
          <w:szCs w:val="20"/>
        </w:rPr>
        <w:t>mooie en valabele definitie</w:t>
      </w:r>
      <w:r w:rsidR="00ED36B4" w:rsidRPr="00D90430">
        <w:rPr>
          <w:rFonts w:ascii="Verdana" w:hAnsi="Verdana"/>
          <w:sz w:val="20"/>
          <w:szCs w:val="20"/>
        </w:rPr>
        <w:t>s</w:t>
      </w:r>
      <w:r w:rsidRPr="00D90430">
        <w:rPr>
          <w:rFonts w:ascii="Verdana" w:hAnsi="Verdana"/>
          <w:sz w:val="20"/>
          <w:szCs w:val="20"/>
        </w:rPr>
        <w:t xml:space="preserve">. Vraag is of </w:t>
      </w:r>
      <w:r w:rsidR="00ED36B4" w:rsidRPr="00D90430">
        <w:rPr>
          <w:rFonts w:ascii="Verdana" w:hAnsi="Verdana"/>
          <w:sz w:val="20"/>
          <w:szCs w:val="20"/>
        </w:rPr>
        <w:t>dit dan niet eerder thuishoort onder de definities?</w:t>
      </w:r>
    </w:p>
    <w:p w:rsidR="00EB5E38" w:rsidRPr="00D90430" w:rsidRDefault="00EB5E38">
      <w:pPr>
        <w:rPr>
          <w:rFonts w:ascii="Verdana" w:hAnsi="Verdana"/>
          <w:sz w:val="20"/>
          <w:szCs w:val="20"/>
        </w:rPr>
      </w:pPr>
    </w:p>
    <w:p w:rsidR="00ED36B4" w:rsidRPr="00D90430" w:rsidRDefault="00ED36B4">
      <w:pPr>
        <w:rPr>
          <w:rFonts w:ascii="Verdana" w:hAnsi="Verdana"/>
          <w:b/>
          <w:sz w:val="20"/>
          <w:szCs w:val="20"/>
        </w:rPr>
      </w:pPr>
      <w:r w:rsidRPr="00D90430">
        <w:rPr>
          <w:rFonts w:ascii="Verdana" w:hAnsi="Verdana"/>
          <w:b/>
          <w:sz w:val="20"/>
          <w:szCs w:val="20"/>
        </w:rPr>
        <w:t>Artikel 9</w:t>
      </w:r>
    </w:p>
    <w:p w:rsidR="00ED36B4" w:rsidRPr="00D90430" w:rsidRDefault="00ED36B4">
      <w:pPr>
        <w:rPr>
          <w:rFonts w:ascii="Verdana" w:hAnsi="Verdana"/>
          <w:sz w:val="20"/>
          <w:szCs w:val="20"/>
        </w:rPr>
      </w:pPr>
    </w:p>
    <w:p w:rsidR="00ED36B4" w:rsidRPr="00D90430" w:rsidRDefault="00ED36B4">
      <w:pPr>
        <w:rPr>
          <w:rFonts w:ascii="Verdana" w:hAnsi="Verdana"/>
          <w:sz w:val="20"/>
          <w:szCs w:val="20"/>
        </w:rPr>
      </w:pPr>
      <w:r w:rsidRPr="00D90430">
        <w:rPr>
          <w:rFonts w:ascii="Verdana" w:hAnsi="Verdana"/>
          <w:sz w:val="20"/>
          <w:szCs w:val="20"/>
        </w:rPr>
        <w:t>Is het ook niet de taak van MOW om</w:t>
      </w:r>
      <w:r w:rsidR="007D31FE" w:rsidRPr="00D90430">
        <w:rPr>
          <w:rFonts w:ascii="Verdana" w:hAnsi="Verdana"/>
          <w:sz w:val="20"/>
          <w:szCs w:val="20"/>
        </w:rPr>
        <w:t xml:space="preserve"> </w:t>
      </w:r>
      <w:r w:rsidRPr="00D90430">
        <w:rPr>
          <w:rFonts w:ascii="Verdana" w:hAnsi="Verdana"/>
          <w:sz w:val="20"/>
          <w:szCs w:val="20"/>
        </w:rPr>
        <w:t>erover te waken dat de mobiliteitsprojecten en –plann</w:t>
      </w:r>
      <w:r w:rsidR="007D31FE" w:rsidRPr="00D90430">
        <w:rPr>
          <w:rFonts w:ascii="Verdana" w:hAnsi="Verdana"/>
          <w:sz w:val="20"/>
          <w:szCs w:val="20"/>
        </w:rPr>
        <w:t>en</w:t>
      </w:r>
      <w:r w:rsidRPr="00D90430">
        <w:rPr>
          <w:rFonts w:ascii="Verdana" w:hAnsi="Verdana"/>
          <w:sz w:val="20"/>
          <w:szCs w:val="20"/>
        </w:rPr>
        <w:t xml:space="preserve"> over de verv</w:t>
      </w:r>
      <w:r w:rsidR="007D31FE" w:rsidRPr="00D90430">
        <w:rPr>
          <w:rFonts w:ascii="Verdana" w:hAnsi="Verdana"/>
          <w:sz w:val="20"/>
          <w:szCs w:val="20"/>
        </w:rPr>
        <w:t>oe</w:t>
      </w:r>
      <w:r w:rsidRPr="00D90430">
        <w:rPr>
          <w:rFonts w:ascii="Verdana" w:hAnsi="Verdana"/>
          <w:sz w:val="20"/>
          <w:szCs w:val="20"/>
        </w:rPr>
        <w:t>rregio’s heen op elkaar worden af</w:t>
      </w:r>
      <w:r w:rsidR="007D31FE" w:rsidRPr="00D90430">
        <w:rPr>
          <w:rFonts w:ascii="Verdana" w:hAnsi="Verdana"/>
          <w:sz w:val="20"/>
          <w:szCs w:val="20"/>
        </w:rPr>
        <w:t>g</w:t>
      </w:r>
      <w:r w:rsidRPr="00D90430">
        <w:rPr>
          <w:rFonts w:ascii="Verdana" w:hAnsi="Verdana"/>
          <w:sz w:val="20"/>
          <w:szCs w:val="20"/>
        </w:rPr>
        <w:t>estemd</w:t>
      </w:r>
      <w:r w:rsidR="00656BC3" w:rsidRPr="00D90430">
        <w:rPr>
          <w:rFonts w:ascii="Verdana" w:hAnsi="Verdana"/>
          <w:sz w:val="20"/>
          <w:szCs w:val="20"/>
        </w:rPr>
        <w:t>?</w:t>
      </w:r>
      <w:r w:rsidRPr="00D90430">
        <w:rPr>
          <w:rFonts w:ascii="Verdana" w:hAnsi="Verdana"/>
          <w:sz w:val="20"/>
          <w:szCs w:val="20"/>
        </w:rPr>
        <w:t xml:space="preserve"> Het is niet geheel ondenkbeeldig dat er conflicten of tegenstrijdigheden zullen opduiken tussen de p</w:t>
      </w:r>
      <w:r w:rsidR="007D31FE" w:rsidRPr="00D90430">
        <w:rPr>
          <w:rFonts w:ascii="Verdana" w:hAnsi="Verdana"/>
          <w:sz w:val="20"/>
          <w:szCs w:val="20"/>
        </w:rPr>
        <w:t>ro</w:t>
      </w:r>
      <w:r w:rsidRPr="00D90430">
        <w:rPr>
          <w:rFonts w:ascii="Verdana" w:hAnsi="Verdana"/>
          <w:sz w:val="20"/>
          <w:szCs w:val="20"/>
        </w:rPr>
        <w:t>jecten</w:t>
      </w:r>
      <w:r w:rsidR="00656BC3" w:rsidRPr="00D90430">
        <w:rPr>
          <w:rFonts w:ascii="Verdana" w:hAnsi="Verdana"/>
          <w:sz w:val="20"/>
          <w:szCs w:val="20"/>
        </w:rPr>
        <w:t xml:space="preserve"> en de</w:t>
      </w:r>
      <w:r w:rsidRPr="00D90430">
        <w:rPr>
          <w:rFonts w:ascii="Verdana" w:hAnsi="Verdana"/>
          <w:sz w:val="20"/>
          <w:szCs w:val="20"/>
        </w:rPr>
        <w:t xml:space="preserve"> plannen van de vervoerregio’s. Hoe </w:t>
      </w:r>
      <w:r w:rsidR="007D31FE" w:rsidRPr="00D90430">
        <w:rPr>
          <w:rFonts w:ascii="Verdana" w:hAnsi="Verdana"/>
          <w:sz w:val="20"/>
          <w:szCs w:val="20"/>
        </w:rPr>
        <w:t>zal daarmee worden omgegaan?</w:t>
      </w:r>
    </w:p>
    <w:p w:rsidR="007D31FE" w:rsidRPr="00D90430" w:rsidRDefault="007D31FE">
      <w:pPr>
        <w:rPr>
          <w:rFonts w:ascii="Verdana" w:hAnsi="Verdana"/>
          <w:sz w:val="20"/>
          <w:szCs w:val="20"/>
        </w:rPr>
      </w:pPr>
    </w:p>
    <w:p w:rsidR="00EB5E38" w:rsidRPr="00D90430" w:rsidRDefault="00EB5E38">
      <w:pPr>
        <w:rPr>
          <w:rFonts w:ascii="Verdana" w:hAnsi="Verdana"/>
          <w:b/>
          <w:sz w:val="20"/>
          <w:szCs w:val="20"/>
        </w:rPr>
      </w:pPr>
      <w:r w:rsidRPr="00D90430">
        <w:rPr>
          <w:rFonts w:ascii="Verdana" w:hAnsi="Verdana"/>
          <w:b/>
          <w:sz w:val="20"/>
          <w:szCs w:val="20"/>
        </w:rPr>
        <w:t>Artikel 10</w:t>
      </w:r>
    </w:p>
    <w:p w:rsidR="00EB5E38" w:rsidRPr="00D90430" w:rsidRDefault="00EB5E38">
      <w:pPr>
        <w:rPr>
          <w:rFonts w:ascii="Verdana" w:hAnsi="Verdana"/>
          <w:sz w:val="20"/>
          <w:szCs w:val="20"/>
        </w:rPr>
      </w:pPr>
    </w:p>
    <w:p w:rsidR="006E28A5" w:rsidRPr="00D90430" w:rsidRDefault="00EB5E38">
      <w:pPr>
        <w:rPr>
          <w:rFonts w:ascii="Verdana" w:hAnsi="Verdana"/>
          <w:sz w:val="20"/>
          <w:szCs w:val="20"/>
        </w:rPr>
      </w:pPr>
      <w:r w:rsidRPr="00D90430">
        <w:rPr>
          <w:rFonts w:ascii="Verdana" w:hAnsi="Verdana"/>
          <w:sz w:val="20"/>
          <w:szCs w:val="20"/>
        </w:rPr>
        <w:t>Hier worden de provinc</w:t>
      </w:r>
      <w:r w:rsidR="007D31FE" w:rsidRPr="00D90430">
        <w:rPr>
          <w:rFonts w:ascii="Verdana" w:hAnsi="Verdana"/>
          <w:sz w:val="20"/>
          <w:szCs w:val="20"/>
        </w:rPr>
        <w:t>i</w:t>
      </w:r>
      <w:r w:rsidRPr="00D90430">
        <w:rPr>
          <w:rFonts w:ascii="Verdana" w:hAnsi="Verdana"/>
          <w:sz w:val="20"/>
          <w:szCs w:val="20"/>
        </w:rPr>
        <w:t>ale en gemeentelijke beslissingen (genomen door een rech</w:t>
      </w:r>
      <w:r w:rsidR="007D31FE" w:rsidRPr="00D90430">
        <w:rPr>
          <w:rFonts w:ascii="Verdana" w:hAnsi="Verdana"/>
          <w:sz w:val="20"/>
          <w:szCs w:val="20"/>
        </w:rPr>
        <w:t>t</w:t>
      </w:r>
      <w:r w:rsidRPr="00D90430">
        <w:rPr>
          <w:rFonts w:ascii="Verdana" w:hAnsi="Verdana"/>
          <w:sz w:val="20"/>
          <w:szCs w:val="20"/>
        </w:rPr>
        <w:t>streeks verkozen orga</w:t>
      </w:r>
      <w:r w:rsidR="007D31FE" w:rsidRPr="00D90430">
        <w:rPr>
          <w:rFonts w:ascii="Verdana" w:hAnsi="Verdana"/>
          <w:sz w:val="20"/>
          <w:szCs w:val="20"/>
        </w:rPr>
        <w:t>nen</w:t>
      </w:r>
      <w:r w:rsidRPr="00D90430">
        <w:rPr>
          <w:rFonts w:ascii="Verdana" w:hAnsi="Verdana"/>
          <w:sz w:val="20"/>
          <w:szCs w:val="20"/>
        </w:rPr>
        <w:t xml:space="preserve">) ondergeschikt gemaakt aan de beslissingen van </w:t>
      </w:r>
      <w:r w:rsidR="007D31FE" w:rsidRPr="00D90430">
        <w:rPr>
          <w:rFonts w:ascii="Verdana" w:hAnsi="Verdana"/>
          <w:sz w:val="20"/>
          <w:szCs w:val="20"/>
        </w:rPr>
        <w:t xml:space="preserve">een </w:t>
      </w:r>
      <w:r w:rsidRPr="00D90430">
        <w:rPr>
          <w:rFonts w:ascii="Verdana" w:hAnsi="Verdana"/>
          <w:sz w:val="20"/>
          <w:szCs w:val="20"/>
        </w:rPr>
        <w:t>VVR</w:t>
      </w:r>
      <w:r w:rsidR="00917399">
        <w:rPr>
          <w:rFonts w:ascii="Verdana" w:hAnsi="Verdana"/>
          <w:sz w:val="20"/>
          <w:szCs w:val="20"/>
        </w:rPr>
        <w:t xml:space="preserve">. </w:t>
      </w:r>
      <w:r w:rsidR="007D31FE" w:rsidRPr="00D90430">
        <w:rPr>
          <w:rFonts w:ascii="Verdana" w:hAnsi="Verdana"/>
          <w:sz w:val="20"/>
          <w:szCs w:val="20"/>
        </w:rPr>
        <w:t xml:space="preserve">O.a. </w:t>
      </w:r>
      <w:proofErr w:type="spellStart"/>
      <w:r w:rsidR="007D31FE" w:rsidRPr="00D90430">
        <w:rPr>
          <w:rFonts w:ascii="Verdana" w:hAnsi="Verdana"/>
          <w:sz w:val="20"/>
          <w:szCs w:val="20"/>
        </w:rPr>
        <w:t>gRUP’s</w:t>
      </w:r>
      <w:proofErr w:type="spellEnd"/>
      <w:r w:rsidR="007D31FE" w:rsidRPr="00D90430">
        <w:rPr>
          <w:rFonts w:ascii="Verdana" w:hAnsi="Verdana"/>
          <w:sz w:val="20"/>
          <w:szCs w:val="20"/>
        </w:rPr>
        <w:t xml:space="preserve"> en </w:t>
      </w:r>
      <w:proofErr w:type="spellStart"/>
      <w:r w:rsidR="007D31FE" w:rsidRPr="00D90430">
        <w:rPr>
          <w:rFonts w:ascii="Verdana" w:hAnsi="Verdana"/>
          <w:sz w:val="20"/>
          <w:szCs w:val="20"/>
        </w:rPr>
        <w:t>PRUPs</w:t>
      </w:r>
      <w:proofErr w:type="spellEnd"/>
      <w:r w:rsidR="007D31FE" w:rsidRPr="00D90430">
        <w:rPr>
          <w:rFonts w:ascii="Verdana" w:hAnsi="Verdana"/>
          <w:sz w:val="20"/>
          <w:szCs w:val="20"/>
        </w:rPr>
        <w:t xml:space="preserve"> die door een gemeenteraad en provincieraad zijn goedgekeurd mogen dus niet worden uitgevoerd</w:t>
      </w:r>
      <w:r w:rsidR="00272C92" w:rsidRPr="00D90430">
        <w:rPr>
          <w:rFonts w:ascii="Verdana" w:hAnsi="Verdana"/>
          <w:sz w:val="20"/>
          <w:szCs w:val="20"/>
        </w:rPr>
        <w:t xml:space="preserve"> als ze in tegenstrijd zijn met een regionaal mobiliteitsplan.</w:t>
      </w:r>
      <w:r w:rsidR="007D31FE" w:rsidRPr="00D90430">
        <w:rPr>
          <w:rFonts w:ascii="Verdana" w:hAnsi="Verdana"/>
          <w:sz w:val="20"/>
          <w:szCs w:val="20"/>
        </w:rPr>
        <w:t xml:space="preserve"> Aan de mobiliteitsplannen van een VVR wordt hiermee toch een zware juridische kracht toegekend.</w:t>
      </w:r>
      <w:r w:rsidR="00272C92" w:rsidRPr="00D90430">
        <w:rPr>
          <w:rFonts w:ascii="Verdana" w:hAnsi="Verdana"/>
          <w:sz w:val="20"/>
          <w:szCs w:val="20"/>
        </w:rPr>
        <w:t xml:space="preserve"> </w:t>
      </w:r>
      <w:r w:rsidR="006E28A5" w:rsidRPr="00D90430">
        <w:rPr>
          <w:rFonts w:ascii="Verdana" w:hAnsi="Verdana"/>
          <w:sz w:val="20"/>
          <w:szCs w:val="20"/>
        </w:rPr>
        <w:t xml:space="preserve">Wat als een huidig </w:t>
      </w:r>
      <w:r w:rsidR="00272C92" w:rsidRPr="00D90430">
        <w:rPr>
          <w:rFonts w:ascii="Verdana" w:hAnsi="Verdana"/>
          <w:sz w:val="20"/>
          <w:szCs w:val="20"/>
        </w:rPr>
        <w:t>(G/P)</w:t>
      </w:r>
      <w:r w:rsidR="006E28A5" w:rsidRPr="00D90430">
        <w:rPr>
          <w:rFonts w:ascii="Verdana" w:hAnsi="Verdana"/>
          <w:sz w:val="20"/>
          <w:szCs w:val="20"/>
        </w:rPr>
        <w:t>RUP tegenstri</w:t>
      </w:r>
      <w:r w:rsidR="00272C92" w:rsidRPr="00D90430">
        <w:rPr>
          <w:rFonts w:ascii="Verdana" w:hAnsi="Verdana"/>
          <w:sz w:val="20"/>
          <w:szCs w:val="20"/>
        </w:rPr>
        <w:t>jdig</w:t>
      </w:r>
      <w:r w:rsidR="006E28A5" w:rsidRPr="00D90430">
        <w:rPr>
          <w:rFonts w:ascii="Verdana" w:hAnsi="Verdana"/>
          <w:sz w:val="20"/>
          <w:szCs w:val="20"/>
        </w:rPr>
        <w:t xml:space="preserve"> is met een regionaal mobiliteitsplan?</w:t>
      </w:r>
    </w:p>
    <w:p w:rsidR="00EB5E38" w:rsidRPr="00D90430" w:rsidRDefault="00EB5E38">
      <w:pPr>
        <w:rPr>
          <w:rFonts w:ascii="Verdana" w:hAnsi="Verdana"/>
          <w:sz w:val="20"/>
          <w:szCs w:val="20"/>
        </w:rPr>
      </w:pPr>
    </w:p>
    <w:p w:rsidR="007D31FE" w:rsidRPr="00D90430" w:rsidRDefault="000856EC">
      <w:pPr>
        <w:rPr>
          <w:rFonts w:ascii="Verdana" w:hAnsi="Verdana"/>
          <w:b/>
          <w:sz w:val="20"/>
          <w:szCs w:val="20"/>
        </w:rPr>
      </w:pPr>
      <w:r w:rsidRPr="00D90430">
        <w:rPr>
          <w:rFonts w:ascii="Verdana" w:hAnsi="Verdana"/>
          <w:b/>
          <w:sz w:val="20"/>
          <w:szCs w:val="20"/>
        </w:rPr>
        <w:t>Artikel 11</w:t>
      </w:r>
    </w:p>
    <w:p w:rsidR="000856EC" w:rsidRPr="00D90430" w:rsidRDefault="000856EC">
      <w:pPr>
        <w:rPr>
          <w:rFonts w:ascii="Verdana" w:hAnsi="Verdana"/>
          <w:sz w:val="20"/>
          <w:szCs w:val="20"/>
        </w:rPr>
      </w:pPr>
    </w:p>
    <w:p w:rsidR="000856EC" w:rsidRPr="00D90430" w:rsidRDefault="000856EC">
      <w:pPr>
        <w:rPr>
          <w:rFonts w:ascii="Verdana" w:hAnsi="Verdana"/>
          <w:sz w:val="20"/>
          <w:szCs w:val="20"/>
        </w:rPr>
      </w:pPr>
      <w:r w:rsidRPr="00D90430">
        <w:rPr>
          <w:rFonts w:ascii="Verdana" w:hAnsi="Verdana"/>
          <w:sz w:val="20"/>
          <w:szCs w:val="20"/>
        </w:rPr>
        <w:t xml:space="preserve">In de laatste zin wordt verwezen naar “een beleidskader”. Wat wordt hiermee bedoeld? Dit houdt op zijn minst het risico in dat er verwarring ontstaat met de ruimtelijke beleidskaders. In de rest van het artikel, noch in de </w:t>
      </w:r>
      <w:proofErr w:type="spellStart"/>
      <w:r w:rsidRPr="00D90430">
        <w:rPr>
          <w:rFonts w:ascii="Verdana" w:hAnsi="Verdana"/>
          <w:sz w:val="20"/>
          <w:szCs w:val="20"/>
        </w:rPr>
        <w:t>MvT</w:t>
      </w:r>
      <w:proofErr w:type="spellEnd"/>
      <w:r w:rsidRPr="00D90430">
        <w:rPr>
          <w:rFonts w:ascii="Verdana" w:hAnsi="Verdana"/>
          <w:sz w:val="20"/>
          <w:szCs w:val="20"/>
        </w:rPr>
        <w:t xml:space="preserve"> wordt voor de rest verwezen naar een beleidskader en wat dat precies inhoudt.</w:t>
      </w:r>
    </w:p>
    <w:p w:rsidR="000856EC" w:rsidRPr="00D90430" w:rsidRDefault="000856EC">
      <w:pPr>
        <w:rPr>
          <w:rFonts w:ascii="Verdana" w:hAnsi="Verdana"/>
          <w:sz w:val="20"/>
          <w:szCs w:val="20"/>
        </w:rPr>
      </w:pPr>
    </w:p>
    <w:p w:rsidR="000856EC" w:rsidRPr="00D90430" w:rsidRDefault="000856EC" w:rsidP="000856EC">
      <w:pPr>
        <w:rPr>
          <w:rFonts w:ascii="Verdana" w:hAnsi="Verdana"/>
          <w:b/>
          <w:sz w:val="20"/>
          <w:szCs w:val="20"/>
        </w:rPr>
      </w:pPr>
      <w:r w:rsidRPr="00D90430">
        <w:rPr>
          <w:rFonts w:ascii="Verdana" w:hAnsi="Verdana"/>
          <w:b/>
          <w:sz w:val="20"/>
          <w:szCs w:val="20"/>
        </w:rPr>
        <w:t>Artikel 12</w:t>
      </w:r>
    </w:p>
    <w:p w:rsidR="000856EC" w:rsidRPr="00D90430" w:rsidRDefault="000856EC">
      <w:pPr>
        <w:rPr>
          <w:rFonts w:ascii="Verdana" w:hAnsi="Verdana"/>
          <w:sz w:val="20"/>
          <w:szCs w:val="20"/>
        </w:rPr>
      </w:pPr>
    </w:p>
    <w:p w:rsidR="006E1F70" w:rsidRPr="00D90430" w:rsidRDefault="000856EC" w:rsidP="006E1F70">
      <w:pPr>
        <w:rPr>
          <w:rFonts w:ascii="Verdana" w:hAnsi="Verdana"/>
          <w:sz w:val="20"/>
          <w:szCs w:val="20"/>
        </w:rPr>
      </w:pPr>
      <w:r w:rsidRPr="00D90430">
        <w:rPr>
          <w:rFonts w:ascii="Verdana" w:hAnsi="Verdana"/>
          <w:sz w:val="20"/>
          <w:szCs w:val="20"/>
        </w:rPr>
        <w:t>Artikel 12 ontslaat de gemeenten van de verplichting om een lokaal mobiliteitsplan op te stellen</w:t>
      </w:r>
      <w:r w:rsidR="00D016FE" w:rsidRPr="00D90430">
        <w:rPr>
          <w:rFonts w:ascii="Verdana" w:hAnsi="Verdana"/>
          <w:sz w:val="20"/>
          <w:szCs w:val="20"/>
        </w:rPr>
        <w:t>. Het regionale mobiliteitsplan zal echter niet alle mobilitei</w:t>
      </w:r>
      <w:r w:rsidR="00DC5F82" w:rsidRPr="00D90430">
        <w:rPr>
          <w:rFonts w:ascii="Verdana" w:hAnsi="Verdana"/>
          <w:sz w:val="20"/>
          <w:szCs w:val="20"/>
        </w:rPr>
        <w:t>ts</w:t>
      </w:r>
      <w:r w:rsidR="00D016FE" w:rsidRPr="00D90430">
        <w:rPr>
          <w:rFonts w:ascii="Verdana" w:hAnsi="Verdana"/>
          <w:sz w:val="20"/>
          <w:szCs w:val="20"/>
        </w:rPr>
        <w:t>vraagstukken</w:t>
      </w:r>
      <w:r w:rsidR="00DC5F82" w:rsidRPr="00D90430">
        <w:rPr>
          <w:rFonts w:ascii="Verdana" w:hAnsi="Verdana"/>
          <w:sz w:val="20"/>
          <w:szCs w:val="20"/>
        </w:rPr>
        <w:t xml:space="preserve"> </w:t>
      </w:r>
      <w:r w:rsidR="00D016FE" w:rsidRPr="00D90430">
        <w:rPr>
          <w:rFonts w:ascii="Verdana" w:hAnsi="Verdana"/>
          <w:sz w:val="20"/>
          <w:szCs w:val="20"/>
        </w:rPr>
        <w:t xml:space="preserve">van een lokaal bestuur beantwoorden. </w:t>
      </w:r>
      <w:r w:rsidR="006E1F70" w:rsidRPr="00D90430">
        <w:rPr>
          <w:rFonts w:ascii="Verdana" w:hAnsi="Verdana"/>
          <w:sz w:val="20"/>
          <w:szCs w:val="20"/>
        </w:rPr>
        <w:t xml:space="preserve">In de </w:t>
      </w:r>
      <w:proofErr w:type="spellStart"/>
      <w:r w:rsidR="006E1F70" w:rsidRPr="00D90430">
        <w:rPr>
          <w:rFonts w:ascii="Verdana" w:hAnsi="Verdana"/>
          <w:sz w:val="20"/>
          <w:szCs w:val="20"/>
        </w:rPr>
        <w:t>MvT</w:t>
      </w:r>
      <w:proofErr w:type="spellEnd"/>
      <w:r w:rsidR="006E1F70" w:rsidRPr="00D90430">
        <w:rPr>
          <w:rFonts w:ascii="Verdana" w:hAnsi="Verdana"/>
          <w:sz w:val="20"/>
          <w:szCs w:val="20"/>
        </w:rPr>
        <w:t xml:space="preserve"> staat nochtans dat de planlast verbonden aan de mobiliteitsplanning gerelativeerd kan worden (p 18 </w:t>
      </w:r>
      <w:proofErr w:type="spellStart"/>
      <w:r w:rsidR="006E1F70" w:rsidRPr="00D90430">
        <w:rPr>
          <w:rFonts w:ascii="Verdana" w:hAnsi="Verdana"/>
          <w:sz w:val="20"/>
          <w:szCs w:val="20"/>
        </w:rPr>
        <w:t>MvT</w:t>
      </w:r>
      <w:proofErr w:type="spellEnd"/>
      <w:r w:rsidR="006E1F70" w:rsidRPr="00D90430">
        <w:rPr>
          <w:rFonts w:ascii="Verdana" w:hAnsi="Verdana"/>
          <w:sz w:val="20"/>
          <w:szCs w:val="20"/>
        </w:rPr>
        <w:t>).</w:t>
      </w:r>
    </w:p>
    <w:p w:rsidR="007D31FE" w:rsidRPr="00D90430" w:rsidRDefault="007D31FE">
      <w:pPr>
        <w:rPr>
          <w:rFonts w:ascii="Verdana" w:hAnsi="Verdana"/>
          <w:sz w:val="20"/>
          <w:szCs w:val="20"/>
        </w:rPr>
      </w:pPr>
    </w:p>
    <w:p w:rsidR="00D016FE" w:rsidRPr="00D90430" w:rsidRDefault="00D016FE">
      <w:pPr>
        <w:rPr>
          <w:rFonts w:ascii="Verdana" w:hAnsi="Verdana"/>
          <w:b/>
          <w:sz w:val="20"/>
          <w:szCs w:val="20"/>
        </w:rPr>
      </w:pPr>
      <w:r w:rsidRPr="00D90430">
        <w:rPr>
          <w:rFonts w:ascii="Verdana" w:hAnsi="Verdana"/>
          <w:b/>
          <w:sz w:val="20"/>
          <w:szCs w:val="20"/>
        </w:rPr>
        <w:t>Artikel 13</w:t>
      </w:r>
    </w:p>
    <w:p w:rsidR="00D016FE" w:rsidRPr="00D90430" w:rsidRDefault="00D016FE">
      <w:pPr>
        <w:rPr>
          <w:rFonts w:ascii="Verdana" w:hAnsi="Verdana"/>
          <w:sz w:val="20"/>
          <w:szCs w:val="20"/>
        </w:rPr>
      </w:pPr>
    </w:p>
    <w:p w:rsidR="00D016FE" w:rsidRPr="00D90430" w:rsidRDefault="00D016FE" w:rsidP="00D016FE">
      <w:pPr>
        <w:rPr>
          <w:rFonts w:ascii="Verdana" w:hAnsi="Verdana"/>
          <w:sz w:val="20"/>
          <w:szCs w:val="20"/>
        </w:rPr>
      </w:pPr>
      <w:r w:rsidRPr="00D90430">
        <w:rPr>
          <w:rFonts w:ascii="Verdana" w:hAnsi="Verdana"/>
          <w:sz w:val="20"/>
          <w:szCs w:val="20"/>
        </w:rPr>
        <w:t xml:space="preserve">In de </w:t>
      </w:r>
      <w:proofErr w:type="spellStart"/>
      <w:r w:rsidRPr="00D90430">
        <w:rPr>
          <w:rFonts w:ascii="Verdana" w:hAnsi="Verdana"/>
          <w:sz w:val="20"/>
          <w:szCs w:val="20"/>
        </w:rPr>
        <w:t>MvT</w:t>
      </w:r>
      <w:proofErr w:type="spellEnd"/>
      <w:r w:rsidRPr="00D90430">
        <w:rPr>
          <w:rFonts w:ascii="Verdana" w:hAnsi="Verdana"/>
          <w:sz w:val="20"/>
          <w:szCs w:val="20"/>
        </w:rPr>
        <w:t xml:space="preserve"> wordt verwezen naar een 4</w:t>
      </w:r>
      <w:r w:rsidRPr="00D90430">
        <w:rPr>
          <w:rFonts w:ascii="Verdana" w:hAnsi="Verdana"/>
          <w:sz w:val="20"/>
          <w:szCs w:val="20"/>
          <w:vertAlign w:val="superscript"/>
        </w:rPr>
        <w:t>de</w:t>
      </w:r>
      <w:r w:rsidRPr="00D90430">
        <w:rPr>
          <w:rFonts w:ascii="Verdana" w:hAnsi="Verdana"/>
          <w:sz w:val="20"/>
          <w:szCs w:val="20"/>
        </w:rPr>
        <w:t xml:space="preserve"> paragraaf die zou vermelden dat de mobiliteitsplannen geen beoordelingsgrond vormen voor vergunningen. Die paragraaf ontbreekt echter in het </w:t>
      </w:r>
      <w:r w:rsidR="007E0F30">
        <w:rPr>
          <w:rFonts w:ascii="Verdana" w:hAnsi="Verdana"/>
          <w:sz w:val="20"/>
          <w:szCs w:val="20"/>
        </w:rPr>
        <w:t>voor</w:t>
      </w:r>
      <w:r w:rsidRPr="00D90430">
        <w:rPr>
          <w:rFonts w:ascii="Verdana" w:hAnsi="Verdana"/>
          <w:sz w:val="20"/>
          <w:szCs w:val="20"/>
        </w:rPr>
        <w:t>ontwerp</w:t>
      </w:r>
      <w:r w:rsidR="007E0F30">
        <w:rPr>
          <w:rFonts w:ascii="Verdana" w:hAnsi="Verdana"/>
          <w:sz w:val="20"/>
          <w:szCs w:val="20"/>
        </w:rPr>
        <w:t xml:space="preserve"> van </w:t>
      </w:r>
      <w:r w:rsidRPr="00D90430">
        <w:rPr>
          <w:rFonts w:ascii="Verdana" w:hAnsi="Verdana"/>
          <w:sz w:val="20"/>
          <w:szCs w:val="20"/>
        </w:rPr>
        <w:t>decreet.</w:t>
      </w:r>
    </w:p>
    <w:p w:rsidR="00D016FE" w:rsidRPr="00D90430" w:rsidRDefault="00D016FE">
      <w:pPr>
        <w:rPr>
          <w:rFonts w:ascii="Verdana" w:hAnsi="Verdana"/>
          <w:sz w:val="20"/>
          <w:szCs w:val="20"/>
        </w:rPr>
      </w:pPr>
    </w:p>
    <w:p w:rsidR="007E0F30" w:rsidRDefault="007E0F30">
      <w:pPr>
        <w:spacing w:after="160" w:line="259" w:lineRule="auto"/>
        <w:rPr>
          <w:rFonts w:ascii="Verdana" w:hAnsi="Verdana"/>
          <w:b/>
          <w:sz w:val="20"/>
          <w:szCs w:val="20"/>
        </w:rPr>
      </w:pPr>
      <w:r>
        <w:rPr>
          <w:rFonts w:ascii="Verdana" w:hAnsi="Verdana"/>
          <w:b/>
          <w:sz w:val="20"/>
          <w:szCs w:val="20"/>
        </w:rPr>
        <w:br w:type="page"/>
      </w:r>
    </w:p>
    <w:p w:rsidR="00D016FE" w:rsidRPr="00D90430" w:rsidRDefault="00D016FE">
      <w:pPr>
        <w:rPr>
          <w:rFonts w:ascii="Verdana" w:hAnsi="Verdana"/>
          <w:b/>
          <w:sz w:val="20"/>
          <w:szCs w:val="20"/>
        </w:rPr>
      </w:pPr>
      <w:r w:rsidRPr="00D90430">
        <w:rPr>
          <w:rFonts w:ascii="Verdana" w:hAnsi="Verdana"/>
          <w:b/>
          <w:sz w:val="20"/>
          <w:szCs w:val="20"/>
        </w:rPr>
        <w:lastRenderedPageBreak/>
        <w:t>Artikel 14</w:t>
      </w:r>
    </w:p>
    <w:p w:rsidR="00D016FE" w:rsidRPr="00D90430" w:rsidRDefault="00D016FE">
      <w:pPr>
        <w:rPr>
          <w:rFonts w:ascii="Verdana" w:hAnsi="Verdana"/>
          <w:sz w:val="20"/>
          <w:szCs w:val="20"/>
        </w:rPr>
      </w:pPr>
    </w:p>
    <w:p w:rsidR="00D016FE" w:rsidRPr="00D90430" w:rsidRDefault="00D016FE">
      <w:pPr>
        <w:rPr>
          <w:rFonts w:ascii="Verdana" w:hAnsi="Verdana"/>
          <w:sz w:val="20"/>
          <w:szCs w:val="20"/>
        </w:rPr>
      </w:pPr>
      <w:r w:rsidRPr="00D90430">
        <w:rPr>
          <w:rFonts w:ascii="Verdana" w:hAnsi="Verdana"/>
          <w:sz w:val="20"/>
          <w:szCs w:val="20"/>
        </w:rPr>
        <w:t xml:space="preserve">Artikel 14 bepaalt dat de </w:t>
      </w:r>
      <w:r w:rsidR="00DC5F82" w:rsidRPr="00D90430">
        <w:rPr>
          <w:rFonts w:ascii="Verdana" w:hAnsi="Verdana"/>
          <w:sz w:val="20"/>
          <w:szCs w:val="20"/>
        </w:rPr>
        <w:t>V</w:t>
      </w:r>
      <w:r w:rsidRPr="00D90430">
        <w:rPr>
          <w:rFonts w:ascii="Verdana" w:hAnsi="Verdana"/>
          <w:sz w:val="20"/>
          <w:szCs w:val="20"/>
        </w:rPr>
        <w:t>laamse regering beslist over de netwerken die van structure</w:t>
      </w:r>
      <w:r w:rsidR="00DC5F82" w:rsidRPr="00D90430">
        <w:rPr>
          <w:rFonts w:ascii="Verdana" w:hAnsi="Verdana"/>
          <w:sz w:val="20"/>
          <w:szCs w:val="20"/>
        </w:rPr>
        <w:t>r</w:t>
      </w:r>
      <w:r w:rsidRPr="00D90430">
        <w:rPr>
          <w:rFonts w:ascii="Verdana" w:hAnsi="Verdana"/>
          <w:sz w:val="20"/>
          <w:szCs w:val="20"/>
        </w:rPr>
        <w:t xml:space="preserve">end belang zijn op het niveau van het Vlaams Gewest. In de </w:t>
      </w:r>
      <w:proofErr w:type="spellStart"/>
      <w:r w:rsidRPr="00D90430">
        <w:rPr>
          <w:rFonts w:ascii="Verdana" w:hAnsi="Verdana"/>
          <w:sz w:val="20"/>
          <w:szCs w:val="20"/>
        </w:rPr>
        <w:t>MvT</w:t>
      </w:r>
      <w:proofErr w:type="spellEnd"/>
      <w:r w:rsidRPr="00D90430">
        <w:rPr>
          <w:rFonts w:ascii="Verdana" w:hAnsi="Verdana"/>
          <w:sz w:val="20"/>
          <w:szCs w:val="20"/>
        </w:rPr>
        <w:t xml:space="preserve"> worden hierbij de fietssnelwegen aangehaald als voorbeeld. Momenteel worden de fietssnelwegen door de provincies bepaald. </w:t>
      </w:r>
    </w:p>
    <w:p w:rsidR="00D016FE" w:rsidRPr="00D90430" w:rsidRDefault="00D016FE">
      <w:pPr>
        <w:rPr>
          <w:rFonts w:ascii="Verdana" w:hAnsi="Verdana"/>
          <w:sz w:val="20"/>
          <w:szCs w:val="20"/>
        </w:rPr>
      </w:pPr>
    </w:p>
    <w:p w:rsidR="00DC5F82" w:rsidRPr="00D90430" w:rsidRDefault="00DC5F82">
      <w:pPr>
        <w:rPr>
          <w:rFonts w:ascii="Verdana" w:hAnsi="Verdana"/>
          <w:b/>
          <w:sz w:val="20"/>
          <w:szCs w:val="20"/>
        </w:rPr>
      </w:pPr>
      <w:r w:rsidRPr="00D90430">
        <w:rPr>
          <w:rFonts w:ascii="Verdana" w:hAnsi="Verdana"/>
          <w:b/>
          <w:sz w:val="20"/>
          <w:szCs w:val="20"/>
        </w:rPr>
        <w:t>Artikel 15</w:t>
      </w:r>
    </w:p>
    <w:p w:rsidR="00DC5F82" w:rsidRPr="00D90430" w:rsidRDefault="00DC5F82">
      <w:pPr>
        <w:rPr>
          <w:rFonts w:ascii="Verdana" w:hAnsi="Verdana"/>
          <w:sz w:val="20"/>
          <w:szCs w:val="20"/>
        </w:rPr>
      </w:pPr>
    </w:p>
    <w:p w:rsidR="00F30871" w:rsidRPr="00D90430" w:rsidRDefault="00F3427B">
      <w:pPr>
        <w:rPr>
          <w:rFonts w:ascii="Verdana" w:hAnsi="Verdana"/>
          <w:sz w:val="20"/>
          <w:szCs w:val="20"/>
        </w:rPr>
      </w:pPr>
      <w:r>
        <w:rPr>
          <w:rFonts w:ascii="Verdana" w:hAnsi="Verdana"/>
          <w:sz w:val="20"/>
          <w:szCs w:val="20"/>
        </w:rPr>
        <w:t xml:space="preserve">Volgens dit artikel is het de Vlaamse regering die autonoom het MPV vaststelt, zonder dat het MPV ter goedkeuring aan het Vlaamse parlement wordt voorgelegd. Van </w:t>
      </w:r>
      <w:r w:rsidR="00F30871" w:rsidRPr="00D90430">
        <w:rPr>
          <w:rFonts w:ascii="Verdana" w:hAnsi="Verdana"/>
          <w:sz w:val="20"/>
          <w:szCs w:val="20"/>
        </w:rPr>
        <w:t>de lokale en de regionale mobiliteitsplannen wordt wel verwacht dat zij aan de gemeent</w:t>
      </w:r>
      <w:r>
        <w:rPr>
          <w:rFonts w:ascii="Verdana" w:hAnsi="Verdana"/>
          <w:sz w:val="20"/>
          <w:szCs w:val="20"/>
        </w:rPr>
        <w:t>era</w:t>
      </w:r>
      <w:r w:rsidR="00F30871" w:rsidRPr="00D90430">
        <w:rPr>
          <w:rFonts w:ascii="Verdana" w:hAnsi="Verdana"/>
          <w:sz w:val="20"/>
          <w:szCs w:val="20"/>
        </w:rPr>
        <w:t>den worden voorgelegd</w:t>
      </w:r>
      <w:r>
        <w:rPr>
          <w:rFonts w:ascii="Verdana" w:hAnsi="Verdana"/>
          <w:sz w:val="20"/>
          <w:szCs w:val="20"/>
        </w:rPr>
        <w:t>.</w:t>
      </w:r>
    </w:p>
    <w:p w:rsidR="00DC5F82" w:rsidRPr="00D90430" w:rsidRDefault="00DC5F82">
      <w:pPr>
        <w:rPr>
          <w:rFonts w:ascii="Verdana" w:hAnsi="Verdana"/>
          <w:sz w:val="20"/>
          <w:szCs w:val="20"/>
        </w:rPr>
      </w:pPr>
    </w:p>
    <w:p w:rsidR="00110538" w:rsidRPr="00D90430" w:rsidRDefault="00110538">
      <w:pPr>
        <w:rPr>
          <w:rFonts w:ascii="Verdana" w:hAnsi="Verdana"/>
          <w:sz w:val="20"/>
          <w:szCs w:val="20"/>
        </w:rPr>
      </w:pPr>
    </w:p>
    <w:p w:rsidR="008A4C64" w:rsidRPr="00D90430" w:rsidRDefault="008A4C64">
      <w:pPr>
        <w:rPr>
          <w:rFonts w:ascii="Verdana" w:hAnsi="Verdana"/>
          <w:b/>
          <w:sz w:val="20"/>
          <w:szCs w:val="20"/>
        </w:rPr>
      </w:pPr>
      <w:r w:rsidRPr="00D90430">
        <w:rPr>
          <w:rFonts w:ascii="Verdana" w:hAnsi="Verdana"/>
          <w:b/>
          <w:sz w:val="20"/>
          <w:szCs w:val="20"/>
        </w:rPr>
        <w:t>Art</w:t>
      </w:r>
      <w:r w:rsidR="0006416D" w:rsidRPr="00D90430">
        <w:rPr>
          <w:rFonts w:ascii="Verdana" w:hAnsi="Verdana"/>
          <w:b/>
          <w:sz w:val="20"/>
          <w:szCs w:val="20"/>
        </w:rPr>
        <w:t>ikel</w:t>
      </w:r>
      <w:r w:rsidRPr="00D90430">
        <w:rPr>
          <w:rFonts w:ascii="Verdana" w:hAnsi="Verdana"/>
          <w:b/>
          <w:sz w:val="20"/>
          <w:szCs w:val="20"/>
        </w:rPr>
        <w:t xml:space="preserve"> 16:</w:t>
      </w:r>
    </w:p>
    <w:p w:rsidR="008A4C64" w:rsidRPr="00D90430" w:rsidRDefault="008A4C64">
      <w:pPr>
        <w:rPr>
          <w:rFonts w:ascii="Verdana" w:hAnsi="Verdana"/>
          <w:sz w:val="20"/>
          <w:szCs w:val="20"/>
        </w:rPr>
      </w:pPr>
    </w:p>
    <w:p w:rsidR="008A4C64" w:rsidRPr="00D90430" w:rsidRDefault="008A4C64" w:rsidP="00325DDE">
      <w:pPr>
        <w:rPr>
          <w:rFonts w:ascii="Verdana" w:hAnsi="Verdana"/>
          <w:sz w:val="20"/>
          <w:szCs w:val="20"/>
        </w:rPr>
      </w:pPr>
      <w:r w:rsidRPr="00D90430">
        <w:rPr>
          <w:rFonts w:ascii="Verdana" w:hAnsi="Verdana"/>
          <w:sz w:val="20"/>
          <w:szCs w:val="20"/>
        </w:rPr>
        <w:t>“</w:t>
      </w:r>
      <w:r w:rsidRPr="002401B2">
        <w:rPr>
          <w:rFonts w:ascii="Verdana" w:hAnsi="Verdana"/>
          <w:i/>
          <w:sz w:val="20"/>
          <w:szCs w:val="20"/>
        </w:rPr>
        <w:t>Het mobilitei</w:t>
      </w:r>
      <w:r w:rsidR="002915C6" w:rsidRPr="002401B2">
        <w:rPr>
          <w:rFonts w:ascii="Verdana" w:hAnsi="Verdana"/>
          <w:i/>
          <w:sz w:val="20"/>
          <w:szCs w:val="20"/>
        </w:rPr>
        <w:t>ts</w:t>
      </w:r>
      <w:r w:rsidRPr="002401B2">
        <w:rPr>
          <w:rFonts w:ascii="Verdana" w:hAnsi="Verdana"/>
          <w:i/>
          <w:sz w:val="20"/>
          <w:szCs w:val="20"/>
        </w:rPr>
        <w:t>plan Vlaanderen omvat de categorisering van de netwerken</w:t>
      </w:r>
      <w:r w:rsidRPr="00D90430">
        <w:rPr>
          <w:rFonts w:ascii="Verdana" w:hAnsi="Verdana"/>
          <w:sz w:val="20"/>
          <w:szCs w:val="20"/>
        </w:rPr>
        <w:t>”</w:t>
      </w:r>
      <w:r w:rsidR="00325DDE" w:rsidRPr="00D90430">
        <w:rPr>
          <w:rFonts w:ascii="Verdana" w:hAnsi="Verdana"/>
          <w:sz w:val="20"/>
          <w:szCs w:val="20"/>
        </w:rPr>
        <w:t xml:space="preserve">. Moet hier ook niet worden aangegeven welke netwerken binnen het MPV zullen gecategoriseerd worden? Of zal de Vlaamse overheid de categorisering van de hoofdwegen, de primaire wegen </w:t>
      </w:r>
      <w:r w:rsidR="00B61E74">
        <w:rPr>
          <w:rFonts w:ascii="Verdana" w:hAnsi="Verdana"/>
          <w:sz w:val="20"/>
          <w:szCs w:val="20"/>
        </w:rPr>
        <w:t>é</w:t>
      </w:r>
      <w:r w:rsidR="00325DDE" w:rsidRPr="00D90430">
        <w:rPr>
          <w:rFonts w:ascii="Verdana" w:hAnsi="Verdana"/>
          <w:sz w:val="20"/>
          <w:szCs w:val="20"/>
        </w:rPr>
        <w:t>n de secundaire wegen</w:t>
      </w:r>
      <w:r w:rsidR="00B61E74">
        <w:rPr>
          <w:rFonts w:ascii="Verdana" w:hAnsi="Verdana"/>
          <w:sz w:val="20"/>
          <w:szCs w:val="20"/>
        </w:rPr>
        <w:t xml:space="preserve"> I, II en III</w:t>
      </w:r>
      <w:r w:rsidR="00325DDE" w:rsidRPr="00D90430">
        <w:rPr>
          <w:rFonts w:ascii="Verdana" w:hAnsi="Verdana"/>
          <w:sz w:val="20"/>
          <w:szCs w:val="20"/>
        </w:rPr>
        <w:t xml:space="preserve"> op zich nemen? Art 8 bepaalt overigens dat het BFF wordt bepaald door de Vervoerregio’s. </w:t>
      </w:r>
    </w:p>
    <w:p w:rsidR="006E1F70" w:rsidRPr="00D90430" w:rsidRDefault="006E1F70" w:rsidP="006E1F70">
      <w:pPr>
        <w:rPr>
          <w:rFonts w:ascii="Verdana" w:hAnsi="Verdana"/>
          <w:sz w:val="20"/>
          <w:szCs w:val="20"/>
        </w:rPr>
      </w:pPr>
    </w:p>
    <w:p w:rsidR="006E1F70" w:rsidRPr="00D90430" w:rsidRDefault="00C8095D" w:rsidP="006E1F70">
      <w:pPr>
        <w:rPr>
          <w:rFonts w:ascii="Verdana" w:hAnsi="Verdana"/>
          <w:b/>
          <w:sz w:val="20"/>
          <w:szCs w:val="20"/>
        </w:rPr>
      </w:pPr>
      <w:r w:rsidRPr="00D90430">
        <w:rPr>
          <w:rFonts w:ascii="Verdana" w:hAnsi="Verdana"/>
          <w:b/>
          <w:sz w:val="20"/>
          <w:szCs w:val="20"/>
        </w:rPr>
        <w:t>Artikel 18</w:t>
      </w:r>
    </w:p>
    <w:p w:rsidR="006E1F70" w:rsidRPr="00D90430" w:rsidRDefault="006E1F70" w:rsidP="006E1F70">
      <w:pPr>
        <w:rPr>
          <w:rFonts w:ascii="Verdana" w:hAnsi="Verdana"/>
          <w:sz w:val="20"/>
          <w:szCs w:val="20"/>
        </w:rPr>
      </w:pPr>
    </w:p>
    <w:p w:rsidR="00936EDA" w:rsidRPr="00D90430" w:rsidRDefault="00C8095D" w:rsidP="006E1F70">
      <w:pPr>
        <w:rPr>
          <w:rFonts w:ascii="Verdana" w:hAnsi="Verdana"/>
          <w:sz w:val="20"/>
          <w:szCs w:val="20"/>
        </w:rPr>
      </w:pPr>
      <w:r w:rsidRPr="00D90430">
        <w:rPr>
          <w:rFonts w:ascii="Verdana" w:hAnsi="Verdana"/>
          <w:sz w:val="20"/>
          <w:szCs w:val="20"/>
        </w:rPr>
        <w:t>De goedkeuring van het regionaal mobiliteitsplan door de gemeenteraad is een vereiste om beroep te kunnen doen op subsidies.</w:t>
      </w:r>
      <w:r w:rsidR="00936EDA" w:rsidRPr="00D90430">
        <w:rPr>
          <w:rFonts w:ascii="Verdana" w:hAnsi="Verdana"/>
          <w:sz w:val="20"/>
          <w:szCs w:val="20"/>
        </w:rPr>
        <w:t xml:space="preserve"> Wat als er wel een consensus bestaat over een regionaal mobiliteitsplan in de ververregioraad, maar het mobiliteitsplan </w:t>
      </w:r>
      <w:r w:rsidR="00325DDE" w:rsidRPr="00D90430">
        <w:rPr>
          <w:rFonts w:ascii="Verdana" w:hAnsi="Verdana"/>
          <w:sz w:val="20"/>
          <w:szCs w:val="20"/>
        </w:rPr>
        <w:t>nadien</w:t>
      </w:r>
      <w:r w:rsidR="00936EDA" w:rsidRPr="00D90430">
        <w:rPr>
          <w:rFonts w:ascii="Verdana" w:hAnsi="Verdana"/>
          <w:sz w:val="20"/>
          <w:szCs w:val="20"/>
        </w:rPr>
        <w:t xml:space="preserve"> niet door 1 of meerdere gemeenteraden worden goedgekeurd? Kunnen gemeenten die dan wel het regionaal mobiliteitsplan hebben goedgekeurd </w:t>
      </w:r>
      <w:r w:rsidR="00325DDE" w:rsidRPr="00D90430">
        <w:rPr>
          <w:rFonts w:ascii="Verdana" w:hAnsi="Verdana"/>
          <w:sz w:val="20"/>
          <w:szCs w:val="20"/>
        </w:rPr>
        <w:t xml:space="preserve">toch </w:t>
      </w:r>
      <w:r w:rsidR="00936EDA" w:rsidRPr="00D90430">
        <w:rPr>
          <w:rFonts w:ascii="Verdana" w:hAnsi="Verdana"/>
          <w:sz w:val="20"/>
          <w:szCs w:val="20"/>
        </w:rPr>
        <w:t>beroep doen op subsidies?</w:t>
      </w:r>
    </w:p>
    <w:p w:rsidR="00C8095D" w:rsidRPr="00D90430" w:rsidRDefault="00C8095D" w:rsidP="006E1F70">
      <w:pPr>
        <w:rPr>
          <w:rFonts w:ascii="Verdana" w:hAnsi="Verdana"/>
          <w:sz w:val="20"/>
          <w:szCs w:val="20"/>
        </w:rPr>
      </w:pPr>
    </w:p>
    <w:p w:rsidR="00C8095D" w:rsidRPr="00D90430" w:rsidRDefault="00936EDA" w:rsidP="006E1F70">
      <w:pPr>
        <w:rPr>
          <w:rFonts w:ascii="Verdana" w:hAnsi="Verdana"/>
          <w:b/>
          <w:sz w:val="20"/>
          <w:szCs w:val="20"/>
        </w:rPr>
      </w:pPr>
      <w:r w:rsidRPr="00D90430">
        <w:rPr>
          <w:rFonts w:ascii="Verdana" w:hAnsi="Verdana"/>
          <w:b/>
          <w:sz w:val="20"/>
          <w:szCs w:val="20"/>
        </w:rPr>
        <w:t>Artikel 19</w:t>
      </w:r>
    </w:p>
    <w:p w:rsidR="006E1F70" w:rsidRPr="00D90430" w:rsidRDefault="006E1F70" w:rsidP="006E1F70">
      <w:pPr>
        <w:rPr>
          <w:rFonts w:ascii="Verdana" w:hAnsi="Verdana"/>
          <w:sz w:val="20"/>
          <w:szCs w:val="20"/>
        </w:rPr>
      </w:pPr>
    </w:p>
    <w:p w:rsidR="00936EDA" w:rsidRPr="00D90430" w:rsidRDefault="00936EDA" w:rsidP="006E1F70">
      <w:pPr>
        <w:rPr>
          <w:rFonts w:ascii="Verdana" w:eastAsia="Times New Roman" w:hAnsi="Verdana"/>
          <w:spacing w:val="-3"/>
          <w:sz w:val="20"/>
          <w:szCs w:val="20"/>
          <w:lang w:eastAsia="nl-NL"/>
        </w:rPr>
      </w:pPr>
      <w:r w:rsidRPr="00D90430">
        <w:rPr>
          <w:rFonts w:ascii="Verdana" w:eastAsia="Times New Roman" w:hAnsi="Verdana"/>
          <w:spacing w:val="-3"/>
          <w:sz w:val="20"/>
          <w:szCs w:val="20"/>
          <w:lang w:eastAsia="nl-NL"/>
        </w:rPr>
        <w:t xml:space="preserve">Het regionaal mobiliteitsplan geeft aan hoe het voorgenomen mobiliteitsbeleid bijdraagt tot de realisatie van het </w:t>
      </w:r>
      <w:r w:rsidR="002401B2">
        <w:rPr>
          <w:rFonts w:ascii="Verdana" w:eastAsia="Times New Roman" w:hAnsi="Verdana"/>
          <w:spacing w:val="-3"/>
          <w:sz w:val="20"/>
          <w:szCs w:val="20"/>
          <w:lang w:eastAsia="nl-NL"/>
        </w:rPr>
        <w:t>MPV</w:t>
      </w:r>
      <w:r w:rsidRPr="00D90430">
        <w:rPr>
          <w:rFonts w:ascii="Verdana" w:eastAsia="Times New Roman" w:hAnsi="Verdana"/>
          <w:spacing w:val="-3"/>
          <w:sz w:val="20"/>
          <w:szCs w:val="20"/>
          <w:lang w:eastAsia="nl-NL"/>
        </w:rPr>
        <w:t xml:space="preserve">. Hoe kan een regionaal mobiliteitsplan aangeven hoe het bijdraagt tot de realisatie van het </w:t>
      </w:r>
      <w:r w:rsidR="002401B2">
        <w:rPr>
          <w:rFonts w:ascii="Verdana" w:eastAsia="Times New Roman" w:hAnsi="Verdana"/>
          <w:spacing w:val="-3"/>
          <w:sz w:val="20"/>
          <w:szCs w:val="20"/>
          <w:lang w:eastAsia="nl-NL"/>
        </w:rPr>
        <w:t>MPV</w:t>
      </w:r>
      <w:r w:rsidRPr="00D90430">
        <w:rPr>
          <w:rFonts w:ascii="Verdana" w:eastAsia="Times New Roman" w:hAnsi="Verdana"/>
          <w:spacing w:val="-3"/>
          <w:sz w:val="20"/>
          <w:szCs w:val="20"/>
          <w:lang w:eastAsia="nl-NL"/>
        </w:rPr>
        <w:t xml:space="preserve"> bij ontstentenis van een </w:t>
      </w:r>
      <w:r w:rsidR="002401B2">
        <w:rPr>
          <w:rFonts w:ascii="Verdana" w:eastAsia="Times New Roman" w:hAnsi="Verdana"/>
          <w:spacing w:val="-3"/>
          <w:sz w:val="20"/>
          <w:szCs w:val="20"/>
          <w:lang w:eastAsia="nl-NL"/>
        </w:rPr>
        <w:t>MPV</w:t>
      </w:r>
      <w:r w:rsidRPr="00D90430">
        <w:rPr>
          <w:rFonts w:ascii="Verdana" w:eastAsia="Times New Roman" w:hAnsi="Verdana"/>
          <w:spacing w:val="-3"/>
          <w:sz w:val="20"/>
          <w:szCs w:val="20"/>
          <w:lang w:eastAsia="nl-NL"/>
        </w:rPr>
        <w:t>?</w:t>
      </w:r>
    </w:p>
    <w:p w:rsidR="00936EDA" w:rsidRPr="00D90430" w:rsidRDefault="00936EDA" w:rsidP="006E1F70">
      <w:pPr>
        <w:rPr>
          <w:rFonts w:ascii="Verdana" w:eastAsia="Times New Roman" w:hAnsi="Verdana"/>
          <w:spacing w:val="-3"/>
          <w:sz w:val="20"/>
          <w:szCs w:val="20"/>
          <w:lang w:eastAsia="nl-NL"/>
        </w:rPr>
      </w:pPr>
    </w:p>
    <w:p w:rsidR="00936EDA" w:rsidRPr="00D90430" w:rsidRDefault="00F30871" w:rsidP="006E1F70">
      <w:pPr>
        <w:rPr>
          <w:rFonts w:ascii="Verdana" w:hAnsi="Verdana"/>
          <w:b/>
          <w:sz w:val="20"/>
          <w:szCs w:val="20"/>
        </w:rPr>
      </w:pPr>
      <w:r w:rsidRPr="00D90430">
        <w:rPr>
          <w:rFonts w:ascii="Verdana" w:hAnsi="Verdana"/>
          <w:b/>
          <w:sz w:val="20"/>
          <w:szCs w:val="20"/>
        </w:rPr>
        <w:t>Artikel 23</w:t>
      </w:r>
    </w:p>
    <w:p w:rsidR="00F30871" w:rsidRPr="00D90430" w:rsidRDefault="00F30871" w:rsidP="006E1F70">
      <w:pPr>
        <w:rPr>
          <w:rFonts w:ascii="Verdana" w:hAnsi="Verdana"/>
          <w:sz w:val="20"/>
          <w:szCs w:val="20"/>
        </w:rPr>
      </w:pPr>
    </w:p>
    <w:p w:rsidR="005F3136" w:rsidRPr="00D90430" w:rsidRDefault="00F30871" w:rsidP="006E1F70">
      <w:pPr>
        <w:rPr>
          <w:rFonts w:ascii="Verdana" w:hAnsi="Verdana"/>
          <w:sz w:val="20"/>
          <w:szCs w:val="20"/>
        </w:rPr>
      </w:pPr>
      <w:r w:rsidRPr="00D90430">
        <w:rPr>
          <w:rFonts w:ascii="Verdana" w:hAnsi="Verdana"/>
          <w:sz w:val="20"/>
          <w:szCs w:val="20"/>
        </w:rPr>
        <w:t>Artikel 23 bepaalt dat de Vlaamse regering een Verkeersveil</w:t>
      </w:r>
      <w:r w:rsidR="005F3136" w:rsidRPr="00D90430">
        <w:rPr>
          <w:rFonts w:ascii="Verdana" w:hAnsi="Verdana"/>
          <w:sz w:val="20"/>
          <w:szCs w:val="20"/>
        </w:rPr>
        <w:t>i</w:t>
      </w:r>
      <w:r w:rsidRPr="00D90430">
        <w:rPr>
          <w:rFonts w:ascii="Verdana" w:hAnsi="Verdana"/>
          <w:sz w:val="20"/>
          <w:szCs w:val="20"/>
        </w:rPr>
        <w:t>gheidsplan opmaakt. Er wordt echter nergens aangegeven hoe</w:t>
      </w:r>
      <w:r w:rsidR="005F3136" w:rsidRPr="00D90430">
        <w:rPr>
          <w:rFonts w:ascii="Verdana" w:hAnsi="Verdana"/>
          <w:sz w:val="20"/>
          <w:szCs w:val="20"/>
        </w:rPr>
        <w:t xml:space="preserve"> het</w:t>
      </w:r>
      <w:r w:rsidRPr="00D90430">
        <w:rPr>
          <w:rFonts w:ascii="Verdana" w:hAnsi="Verdana"/>
          <w:sz w:val="20"/>
          <w:szCs w:val="20"/>
        </w:rPr>
        <w:t xml:space="preserve"> plan zich verhoudt met het </w:t>
      </w:r>
      <w:r w:rsidR="002401B2">
        <w:rPr>
          <w:rFonts w:ascii="Verdana" w:hAnsi="Verdana"/>
          <w:sz w:val="20"/>
          <w:szCs w:val="20"/>
        </w:rPr>
        <w:t>MPV</w:t>
      </w:r>
      <w:r w:rsidR="005F3136" w:rsidRPr="00D90430">
        <w:rPr>
          <w:rFonts w:ascii="Verdana" w:hAnsi="Verdana"/>
          <w:sz w:val="20"/>
          <w:szCs w:val="20"/>
        </w:rPr>
        <w:t>.</w:t>
      </w:r>
      <w:r w:rsidR="00F01893">
        <w:rPr>
          <w:rFonts w:ascii="Verdana" w:hAnsi="Verdana"/>
          <w:sz w:val="20"/>
          <w:szCs w:val="20"/>
        </w:rPr>
        <w:t xml:space="preserve"> Logischerwijze is het verkeersveiligheidsplan een integraal onderdeel van het MPV. </w:t>
      </w:r>
      <w:r w:rsidR="005F3136" w:rsidRPr="00D90430">
        <w:rPr>
          <w:rFonts w:ascii="Verdana" w:hAnsi="Verdana"/>
          <w:sz w:val="20"/>
          <w:szCs w:val="20"/>
        </w:rPr>
        <w:t>Ook dit plan moet volgens het decreet niet worden goedgekeurd door het Vlaams parlement.</w:t>
      </w:r>
    </w:p>
    <w:p w:rsidR="005F3136" w:rsidRPr="00D90430" w:rsidRDefault="005F3136" w:rsidP="006E1F70">
      <w:pPr>
        <w:rPr>
          <w:rFonts w:ascii="Verdana" w:hAnsi="Verdana"/>
          <w:sz w:val="20"/>
          <w:szCs w:val="20"/>
        </w:rPr>
      </w:pPr>
    </w:p>
    <w:p w:rsidR="00F30871" w:rsidRPr="00D90430" w:rsidRDefault="005F3136" w:rsidP="006E1F70">
      <w:pPr>
        <w:rPr>
          <w:rFonts w:ascii="Verdana" w:hAnsi="Verdana"/>
          <w:b/>
          <w:sz w:val="20"/>
          <w:szCs w:val="20"/>
        </w:rPr>
      </w:pPr>
      <w:r w:rsidRPr="00D90430">
        <w:rPr>
          <w:rFonts w:ascii="Verdana" w:hAnsi="Verdana"/>
          <w:b/>
          <w:sz w:val="20"/>
          <w:szCs w:val="20"/>
        </w:rPr>
        <w:t>Artikel 24</w:t>
      </w:r>
    </w:p>
    <w:p w:rsidR="005F3136" w:rsidRPr="00D90430" w:rsidRDefault="005F3136" w:rsidP="006E1F70">
      <w:pPr>
        <w:rPr>
          <w:rFonts w:ascii="Verdana" w:hAnsi="Verdana"/>
          <w:sz w:val="20"/>
          <w:szCs w:val="20"/>
        </w:rPr>
      </w:pPr>
    </w:p>
    <w:p w:rsidR="005F3136" w:rsidRPr="00D90430" w:rsidRDefault="00630CB3" w:rsidP="006E1F70">
      <w:pPr>
        <w:rPr>
          <w:rFonts w:ascii="Verdana" w:hAnsi="Verdana"/>
          <w:sz w:val="20"/>
          <w:szCs w:val="20"/>
        </w:rPr>
      </w:pPr>
      <w:r w:rsidRPr="00D90430">
        <w:rPr>
          <w:rFonts w:ascii="Verdana" w:hAnsi="Verdana"/>
          <w:sz w:val="20"/>
          <w:szCs w:val="20"/>
        </w:rPr>
        <w:t xml:space="preserve">De </w:t>
      </w:r>
      <w:proofErr w:type="spellStart"/>
      <w:r w:rsidRPr="00D90430">
        <w:rPr>
          <w:rFonts w:ascii="Verdana" w:hAnsi="Verdana"/>
          <w:sz w:val="20"/>
          <w:szCs w:val="20"/>
        </w:rPr>
        <w:t>MvT</w:t>
      </w:r>
      <w:proofErr w:type="spellEnd"/>
      <w:r w:rsidRPr="00D90430">
        <w:rPr>
          <w:rFonts w:ascii="Verdana" w:hAnsi="Verdana"/>
          <w:sz w:val="20"/>
          <w:szCs w:val="20"/>
        </w:rPr>
        <w:t xml:space="preserve"> verduidelijkt dat niet enkel het openbaar vervoer met vaste dienstregeling, maar ook de andere modi op basis van een aantal indicatoren zullen gemonitord worden. Vraag is of men hiermee bedoelt dat alle vervoersmodi (dus ook fiets en </w:t>
      </w:r>
      <w:proofErr w:type="spellStart"/>
      <w:r w:rsidRPr="00D90430">
        <w:rPr>
          <w:rFonts w:ascii="Verdana" w:hAnsi="Verdana"/>
          <w:sz w:val="20"/>
          <w:szCs w:val="20"/>
        </w:rPr>
        <w:t>pr</w:t>
      </w:r>
      <w:r w:rsidR="00325DDE" w:rsidRPr="00D90430">
        <w:rPr>
          <w:rFonts w:ascii="Verdana" w:hAnsi="Verdana"/>
          <w:sz w:val="20"/>
          <w:szCs w:val="20"/>
        </w:rPr>
        <w:t>i</w:t>
      </w:r>
      <w:r w:rsidRPr="00D90430">
        <w:rPr>
          <w:rFonts w:ascii="Verdana" w:hAnsi="Verdana"/>
          <w:sz w:val="20"/>
          <w:szCs w:val="20"/>
        </w:rPr>
        <w:t>vé-auto</w:t>
      </w:r>
      <w:proofErr w:type="spellEnd"/>
      <w:r w:rsidRPr="00D90430">
        <w:rPr>
          <w:rFonts w:ascii="Verdana" w:hAnsi="Verdana"/>
          <w:sz w:val="20"/>
          <w:szCs w:val="20"/>
        </w:rPr>
        <w:t>) zullen gemonitord of enkel ook het op</w:t>
      </w:r>
      <w:r w:rsidR="00325DDE" w:rsidRPr="00D90430">
        <w:rPr>
          <w:rFonts w:ascii="Verdana" w:hAnsi="Verdana"/>
          <w:sz w:val="20"/>
          <w:szCs w:val="20"/>
        </w:rPr>
        <w:t>en</w:t>
      </w:r>
      <w:r w:rsidRPr="00D90430">
        <w:rPr>
          <w:rFonts w:ascii="Verdana" w:hAnsi="Verdana"/>
          <w:sz w:val="20"/>
          <w:szCs w:val="20"/>
        </w:rPr>
        <w:t xml:space="preserve">baar vervoer zonder vaste dienstregeling (en wat is dat </w:t>
      </w:r>
      <w:r w:rsidR="00325DDE" w:rsidRPr="00D90430">
        <w:rPr>
          <w:rFonts w:ascii="Verdana" w:hAnsi="Verdana"/>
          <w:sz w:val="20"/>
          <w:szCs w:val="20"/>
        </w:rPr>
        <w:t>d</w:t>
      </w:r>
      <w:r w:rsidRPr="00D90430">
        <w:rPr>
          <w:rFonts w:ascii="Verdana" w:hAnsi="Verdana"/>
          <w:sz w:val="20"/>
          <w:szCs w:val="20"/>
        </w:rPr>
        <w:t>an)?</w:t>
      </w:r>
    </w:p>
    <w:p w:rsidR="00630CB3" w:rsidRPr="00D90430" w:rsidRDefault="00630CB3" w:rsidP="006E1F70">
      <w:pPr>
        <w:rPr>
          <w:rFonts w:ascii="Verdana" w:hAnsi="Verdana"/>
          <w:sz w:val="20"/>
          <w:szCs w:val="20"/>
        </w:rPr>
      </w:pPr>
    </w:p>
    <w:p w:rsidR="00630CB3" w:rsidRPr="00D90430" w:rsidRDefault="00ED6CAE" w:rsidP="006E1F70">
      <w:pPr>
        <w:rPr>
          <w:rFonts w:ascii="Verdana" w:hAnsi="Verdana"/>
          <w:b/>
          <w:sz w:val="20"/>
          <w:szCs w:val="20"/>
        </w:rPr>
      </w:pPr>
      <w:r w:rsidRPr="00D90430">
        <w:rPr>
          <w:rFonts w:ascii="Verdana" w:hAnsi="Verdana"/>
          <w:b/>
          <w:sz w:val="20"/>
          <w:szCs w:val="20"/>
        </w:rPr>
        <w:t>Artikel 26</w:t>
      </w:r>
    </w:p>
    <w:p w:rsidR="00630CB3" w:rsidRPr="00D90430" w:rsidRDefault="00630CB3" w:rsidP="006E1F70">
      <w:pPr>
        <w:rPr>
          <w:rFonts w:ascii="Verdana" w:hAnsi="Verdana"/>
          <w:sz w:val="20"/>
          <w:szCs w:val="20"/>
        </w:rPr>
      </w:pPr>
    </w:p>
    <w:p w:rsidR="005F3136" w:rsidRPr="00D90430" w:rsidRDefault="00ED6CAE" w:rsidP="006E1F70">
      <w:pPr>
        <w:rPr>
          <w:rFonts w:ascii="Verdana" w:hAnsi="Verdana"/>
          <w:sz w:val="20"/>
          <w:szCs w:val="20"/>
        </w:rPr>
      </w:pPr>
      <w:r w:rsidRPr="00D90430">
        <w:rPr>
          <w:rFonts w:ascii="Verdana" w:hAnsi="Verdana"/>
          <w:sz w:val="20"/>
          <w:szCs w:val="20"/>
        </w:rPr>
        <w:t xml:space="preserve">Door artikel 26 wordt de huidige projectstructuur met GBC en RMC gewijzigd. De GBC wordt vervangen door een projectstuurgroep. Die kan volgens het artikel worden samengeroepen op initiatief van een (of meerdere) gemeente(n) of door een </w:t>
      </w:r>
      <w:r w:rsidRPr="00D90430">
        <w:rPr>
          <w:rFonts w:ascii="Verdana" w:hAnsi="Verdana"/>
          <w:sz w:val="20"/>
          <w:szCs w:val="20"/>
        </w:rPr>
        <w:lastRenderedPageBreak/>
        <w:t xml:space="preserve">vertegenwoordiger van MOW. In de </w:t>
      </w:r>
      <w:proofErr w:type="spellStart"/>
      <w:r w:rsidRPr="00D90430">
        <w:rPr>
          <w:rFonts w:ascii="Verdana" w:hAnsi="Verdana"/>
          <w:sz w:val="20"/>
          <w:szCs w:val="20"/>
        </w:rPr>
        <w:t>MvT</w:t>
      </w:r>
      <w:proofErr w:type="spellEnd"/>
      <w:r w:rsidRPr="00D90430">
        <w:rPr>
          <w:rFonts w:ascii="Verdana" w:hAnsi="Verdana"/>
          <w:sz w:val="20"/>
          <w:szCs w:val="20"/>
        </w:rPr>
        <w:t xml:space="preserve"> is er echter sprake van dat ook De Lijn als initiatiefnemer kan optreden voor OV projecten. Het decreet en de </w:t>
      </w:r>
      <w:proofErr w:type="spellStart"/>
      <w:r w:rsidRPr="00D90430">
        <w:rPr>
          <w:rFonts w:ascii="Verdana" w:hAnsi="Verdana"/>
          <w:sz w:val="20"/>
          <w:szCs w:val="20"/>
        </w:rPr>
        <w:t>MvT</w:t>
      </w:r>
      <w:proofErr w:type="spellEnd"/>
      <w:r w:rsidRPr="00D90430">
        <w:rPr>
          <w:rFonts w:ascii="Verdana" w:hAnsi="Verdana"/>
          <w:sz w:val="20"/>
          <w:szCs w:val="20"/>
        </w:rPr>
        <w:t xml:space="preserve"> spreken elkaar dus tegen. Daarbij valt het ook op dat nergens melding wordt gemaakt van de provincie die momenteel bij </w:t>
      </w:r>
      <w:proofErr w:type="spellStart"/>
      <w:r w:rsidRPr="00D90430">
        <w:rPr>
          <w:rFonts w:ascii="Verdana" w:hAnsi="Verdana"/>
          <w:sz w:val="20"/>
          <w:szCs w:val="20"/>
        </w:rPr>
        <w:t>fietsgerelateerde</w:t>
      </w:r>
      <w:proofErr w:type="spellEnd"/>
      <w:r w:rsidRPr="00D90430">
        <w:rPr>
          <w:rFonts w:ascii="Verdana" w:hAnsi="Verdana"/>
          <w:sz w:val="20"/>
          <w:szCs w:val="20"/>
        </w:rPr>
        <w:t xml:space="preserve"> projecten ook binnen de GBC/RMC vertegenwoordigd is. Moet/kan</w:t>
      </w:r>
      <w:r w:rsidR="007E0F30">
        <w:rPr>
          <w:rFonts w:ascii="Verdana" w:hAnsi="Verdana"/>
          <w:sz w:val="20"/>
          <w:szCs w:val="20"/>
        </w:rPr>
        <w:t>/mag</w:t>
      </w:r>
      <w:r w:rsidRPr="00D90430">
        <w:rPr>
          <w:rFonts w:ascii="Verdana" w:hAnsi="Verdana"/>
          <w:sz w:val="20"/>
          <w:szCs w:val="20"/>
        </w:rPr>
        <w:t xml:space="preserve"> de provincie in de toekomst nog deelnemen aan de projectstuurgroep</w:t>
      </w:r>
      <w:r w:rsidR="00F01893">
        <w:rPr>
          <w:rFonts w:ascii="Verdana" w:hAnsi="Verdana"/>
          <w:sz w:val="20"/>
          <w:szCs w:val="20"/>
        </w:rPr>
        <w:t xml:space="preserve"> en als initiatiefnemer optreden</w:t>
      </w:r>
      <w:r w:rsidRPr="00D90430">
        <w:rPr>
          <w:rFonts w:ascii="Verdana" w:hAnsi="Verdana"/>
          <w:sz w:val="20"/>
          <w:szCs w:val="20"/>
        </w:rPr>
        <w:t>?</w:t>
      </w:r>
    </w:p>
    <w:p w:rsidR="00ED6CAE" w:rsidRPr="00D90430" w:rsidRDefault="00ED6CAE" w:rsidP="006E1F70">
      <w:pPr>
        <w:rPr>
          <w:rFonts w:ascii="Verdana" w:hAnsi="Verdana"/>
          <w:sz w:val="20"/>
          <w:szCs w:val="20"/>
        </w:rPr>
      </w:pPr>
    </w:p>
    <w:p w:rsidR="00ED6CAE" w:rsidRPr="00D90430" w:rsidRDefault="00ED6CAE" w:rsidP="006E1F70">
      <w:pPr>
        <w:rPr>
          <w:rFonts w:ascii="Verdana" w:hAnsi="Verdana"/>
          <w:sz w:val="20"/>
          <w:szCs w:val="20"/>
        </w:rPr>
      </w:pPr>
      <w:r w:rsidRPr="00D90430">
        <w:rPr>
          <w:rFonts w:ascii="Verdana" w:hAnsi="Verdana"/>
          <w:sz w:val="20"/>
          <w:szCs w:val="20"/>
        </w:rPr>
        <w:t>Tweede vraag is of het de GBC is die vervangen wordt door de projectstuurgroep of vervangt de projectstuurgroep ook de RMC? En hoe wordt de kwaliteitsbewaking die nu (o.a.) door de KA verzorgd in de toekomst gegarandeerd?</w:t>
      </w:r>
    </w:p>
    <w:p w:rsidR="00204F32" w:rsidRDefault="00204F32" w:rsidP="006E1F70">
      <w:pPr>
        <w:rPr>
          <w:rFonts w:ascii="Verdana" w:hAnsi="Verdana"/>
          <w:sz w:val="20"/>
          <w:szCs w:val="20"/>
        </w:rPr>
      </w:pPr>
    </w:p>
    <w:p w:rsidR="00F01893" w:rsidRDefault="00F01893" w:rsidP="006E1F70">
      <w:pPr>
        <w:rPr>
          <w:rFonts w:ascii="Verdana" w:hAnsi="Verdana"/>
          <w:sz w:val="20"/>
          <w:szCs w:val="20"/>
        </w:rPr>
      </w:pPr>
      <w:r>
        <w:rPr>
          <w:rFonts w:ascii="Verdana" w:hAnsi="Verdana"/>
          <w:sz w:val="20"/>
          <w:szCs w:val="20"/>
        </w:rPr>
        <w:t>Derde vraag is of projecten waarvan AWV de trekker is (en die eventueel vervoerregio-overschrijdend) al dan niet aan de projectstuurgroep worden voorgelegd?</w:t>
      </w:r>
    </w:p>
    <w:p w:rsidR="00F01893" w:rsidRPr="00D90430" w:rsidRDefault="00F01893" w:rsidP="006E1F70">
      <w:pPr>
        <w:rPr>
          <w:rFonts w:ascii="Verdana" w:hAnsi="Verdana"/>
          <w:sz w:val="20"/>
          <w:szCs w:val="20"/>
        </w:rPr>
      </w:pPr>
    </w:p>
    <w:p w:rsidR="00204F32" w:rsidRPr="00D90430" w:rsidRDefault="00204F32" w:rsidP="006E1F70">
      <w:pPr>
        <w:rPr>
          <w:rFonts w:ascii="Verdana" w:hAnsi="Verdana"/>
          <w:b/>
          <w:sz w:val="20"/>
          <w:szCs w:val="20"/>
        </w:rPr>
      </w:pPr>
      <w:r w:rsidRPr="00D90430">
        <w:rPr>
          <w:rFonts w:ascii="Verdana" w:hAnsi="Verdana"/>
          <w:b/>
          <w:sz w:val="20"/>
          <w:szCs w:val="20"/>
        </w:rPr>
        <w:t>Artikel 28</w:t>
      </w:r>
    </w:p>
    <w:p w:rsidR="00204F32" w:rsidRPr="00D90430" w:rsidRDefault="00204F32" w:rsidP="006E1F70">
      <w:pPr>
        <w:rPr>
          <w:rFonts w:ascii="Verdana" w:hAnsi="Verdana"/>
          <w:sz w:val="20"/>
          <w:szCs w:val="20"/>
        </w:rPr>
      </w:pPr>
    </w:p>
    <w:p w:rsidR="00204F32" w:rsidRPr="00D90430" w:rsidRDefault="00204F32" w:rsidP="006E1F70">
      <w:pPr>
        <w:rPr>
          <w:rFonts w:ascii="Verdana" w:hAnsi="Verdana"/>
          <w:sz w:val="20"/>
          <w:szCs w:val="20"/>
        </w:rPr>
      </w:pPr>
      <w:r w:rsidRPr="00D90430">
        <w:rPr>
          <w:rFonts w:ascii="Verdana" w:hAnsi="Verdana"/>
          <w:sz w:val="20"/>
          <w:szCs w:val="20"/>
        </w:rPr>
        <w:t xml:space="preserve">Uit de </w:t>
      </w:r>
      <w:proofErr w:type="spellStart"/>
      <w:r w:rsidRPr="00D90430">
        <w:rPr>
          <w:rFonts w:ascii="Verdana" w:hAnsi="Verdana"/>
          <w:sz w:val="20"/>
          <w:szCs w:val="20"/>
        </w:rPr>
        <w:t>MvT</w:t>
      </w:r>
      <w:proofErr w:type="spellEnd"/>
      <w:r w:rsidRPr="00D90430">
        <w:rPr>
          <w:rFonts w:ascii="Verdana" w:hAnsi="Verdana"/>
          <w:sz w:val="20"/>
          <w:szCs w:val="20"/>
        </w:rPr>
        <w:t xml:space="preserve"> blijkt dat de projectstuurgroep diverse vormen kan aannemen. De tekst verwijst o.a. naar de werkbanken die binnen de VVR Antwerpen werden opgericht. Vraag is of dit ten goede komt aan de transparantie en een eenvormige besluitvorming over </w:t>
      </w:r>
      <w:r w:rsidR="00F01893">
        <w:rPr>
          <w:rFonts w:ascii="Verdana" w:hAnsi="Verdana"/>
          <w:sz w:val="20"/>
          <w:szCs w:val="20"/>
        </w:rPr>
        <w:t>de verschillende vervoerregio’s heen</w:t>
      </w:r>
      <w:r w:rsidRPr="00D90430">
        <w:rPr>
          <w:rFonts w:ascii="Verdana" w:hAnsi="Verdana"/>
          <w:sz w:val="20"/>
          <w:szCs w:val="20"/>
        </w:rPr>
        <w:t>.</w:t>
      </w:r>
      <w:r w:rsidR="007E4290">
        <w:rPr>
          <w:rFonts w:ascii="Verdana" w:hAnsi="Verdana"/>
          <w:sz w:val="20"/>
          <w:szCs w:val="20"/>
        </w:rPr>
        <w:t xml:space="preserve"> De werkbanken zoals die binnen de VVR Antwerpen functioneren zijn eerder een (goed) voorbeeld van doorgedreven participatie.</w:t>
      </w:r>
    </w:p>
    <w:p w:rsidR="00204F32" w:rsidRPr="00D90430" w:rsidRDefault="00204F32" w:rsidP="006E1F70">
      <w:pPr>
        <w:rPr>
          <w:rFonts w:ascii="Verdana" w:hAnsi="Verdana"/>
          <w:sz w:val="20"/>
          <w:szCs w:val="20"/>
        </w:rPr>
      </w:pPr>
    </w:p>
    <w:p w:rsidR="00204F32" w:rsidRPr="00D90430" w:rsidRDefault="00204F32" w:rsidP="006E1F70">
      <w:pPr>
        <w:rPr>
          <w:rFonts w:ascii="Verdana" w:hAnsi="Verdana"/>
          <w:sz w:val="20"/>
          <w:szCs w:val="20"/>
        </w:rPr>
      </w:pPr>
      <w:r w:rsidRPr="00D90430">
        <w:rPr>
          <w:rFonts w:ascii="Verdana" w:hAnsi="Verdana"/>
          <w:sz w:val="20"/>
          <w:szCs w:val="20"/>
        </w:rPr>
        <w:t>Aanpassingen aan het KN en AN worden dan weer niet aan de projectstuurgroep voorgelegd, maar worden door de VVR besproken. Er zullen in</w:t>
      </w:r>
      <w:r w:rsidR="00F01893">
        <w:rPr>
          <w:rFonts w:ascii="Verdana" w:hAnsi="Verdana"/>
          <w:sz w:val="20"/>
          <w:szCs w:val="20"/>
        </w:rPr>
        <w:t xml:space="preserve"> </w:t>
      </w:r>
      <w:r w:rsidRPr="00D90430">
        <w:rPr>
          <w:rFonts w:ascii="Verdana" w:hAnsi="Verdana"/>
          <w:sz w:val="20"/>
          <w:szCs w:val="20"/>
        </w:rPr>
        <w:t xml:space="preserve">de toekomst dus twee structuren verantwoordelijk zijn voor het (boven)lokaal mobiliteitsbeleid: enerzijds de VVR (voor het regionaal mobiliteitsplan, bepaling VOM en AN, advisering KN, investeringsprogramma), anderzijds de projectstuurgroep (voor lokale mobiliteitsplannen en projecten). </w:t>
      </w:r>
    </w:p>
    <w:p w:rsidR="00204F32" w:rsidRDefault="00204F32" w:rsidP="006E1F70">
      <w:pPr>
        <w:rPr>
          <w:rFonts w:ascii="Verdana" w:hAnsi="Verdana"/>
          <w:sz w:val="20"/>
          <w:szCs w:val="20"/>
        </w:rPr>
      </w:pPr>
    </w:p>
    <w:p w:rsidR="00F3427B" w:rsidRPr="00F3427B" w:rsidRDefault="00F3427B" w:rsidP="006E1F70">
      <w:pPr>
        <w:rPr>
          <w:rFonts w:ascii="Verdana" w:hAnsi="Verdana"/>
          <w:b/>
          <w:sz w:val="20"/>
          <w:szCs w:val="20"/>
        </w:rPr>
      </w:pPr>
      <w:r w:rsidRPr="00F3427B">
        <w:rPr>
          <w:rFonts w:ascii="Verdana" w:hAnsi="Verdana"/>
          <w:b/>
          <w:sz w:val="20"/>
          <w:szCs w:val="20"/>
        </w:rPr>
        <w:t>Artikel 31</w:t>
      </w:r>
    </w:p>
    <w:p w:rsidR="00F3427B" w:rsidRDefault="00F3427B" w:rsidP="006E1F70">
      <w:pPr>
        <w:rPr>
          <w:rFonts w:ascii="Verdana" w:hAnsi="Verdana"/>
          <w:sz w:val="20"/>
          <w:szCs w:val="20"/>
        </w:rPr>
      </w:pPr>
    </w:p>
    <w:p w:rsidR="00F3427B" w:rsidRPr="00D90430" w:rsidRDefault="00F3427B" w:rsidP="00F3427B">
      <w:pPr>
        <w:rPr>
          <w:rFonts w:ascii="Verdana" w:hAnsi="Verdana"/>
          <w:sz w:val="20"/>
          <w:szCs w:val="20"/>
        </w:rPr>
      </w:pPr>
      <w:r w:rsidRPr="00F3427B">
        <w:rPr>
          <w:rFonts w:ascii="Verdana" w:hAnsi="Verdana"/>
          <w:sz w:val="20"/>
          <w:szCs w:val="20"/>
        </w:rPr>
        <w:t>Het decreet bepaalt ook dat als er voor de regionale of lokale mobiliteitsplannen geen participatietraject wordt vastgelegd, het regionaal of lokaal mobiliteitsplan minstens aan een openbaar onderzoek moet onderworpen worden. Voor het MPV wordt die minimumvereiste evenwel niet in het decreet ingeschreven.</w:t>
      </w:r>
    </w:p>
    <w:p w:rsidR="00F3427B" w:rsidRDefault="00F3427B" w:rsidP="006E1F70">
      <w:pPr>
        <w:rPr>
          <w:rFonts w:ascii="Verdana" w:hAnsi="Verdana"/>
          <w:sz w:val="20"/>
          <w:szCs w:val="20"/>
        </w:rPr>
      </w:pPr>
    </w:p>
    <w:p w:rsidR="00204F32" w:rsidRPr="00D90430" w:rsidRDefault="00204F32" w:rsidP="006E1F70">
      <w:pPr>
        <w:rPr>
          <w:rFonts w:ascii="Verdana" w:hAnsi="Verdana"/>
          <w:b/>
          <w:sz w:val="20"/>
          <w:szCs w:val="20"/>
        </w:rPr>
      </w:pPr>
      <w:r w:rsidRPr="00D90430">
        <w:rPr>
          <w:rFonts w:ascii="Verdana" w:hAnsi="Verdana"/>
          <w:b/>
          <w:sz w:val="20"/>
          <w:szCs w:val="20"/>
        </w:rPr>
        <w:t xml:space="preserve">Artikel </w:t>
      </w:r>
      <w:r w:rsidR="006C4B85" w:rsidRPr="00D90430">
        <w:rPr>
          <w:rFonts w:ascii="Verdana" w:hAnsi="Verdana"/>
          <w:b/>
          <w:sz w:val="20"/>
          <w:szCs w:val="20"/>
        </w:rPr>
        <w:t>32</w:t>
      </w:r>
    </w:p>
    <w:p w:rsidR="00204F32" w:rsidRPr="00D90430" w:rsidRDefault="00204F32" w:rsidP="006E1F70">
      <w:pPr>
        <w:rPr>
          <w:rFonts w:ascii="Verdana" w:hAnsi="Verdana"/>
          <w:sz w:val="20"/>
          <w:szCs w:val="20"/>
        </w:rPr>
      </w:pPr>
    </w:p>
    <w:p w:rsidR="00901639" w:rsidRPr="00D90430" w:rsidRDefault="00901639" w:rsidP="006E1F70">
      <w:pPr>
        <w:rPr>
          <w:rFonts w:ascii="Verdana" w:hAnsi="Verdana"/>
          <w:sz w:val="20"/>
          <w:szCs w:val="20"/>
        </w:rPr>
      </w:pPr>
      <w:r w:rsidRPr="00D90430">
        <w:rPr>
          <w:rFonts w:ascii="Verdana" w:hAnsi="Verdana"/>
          <w:sz w:val="20"/>
          <w:szCs w:val="20"/>
        </w:rPr>
        <w:t xml:space="preserve">Artikel 32 bepaalt dat het </w:t>
      </w:r>
      <w:r w:rsidR="007E0F30">
        <w:rPr>
          <w:rFonts w:ascii="Verdana" w:hAnsi="Verdana"/>
          <w:sz w:val="20"/>
          <w:szCs w:val="20"/>
        </w:rPr>
        <w:t>OV</w:t>
      </w:r>
      <w:r w:rsidRPr="00D90430">
        <w:rPr>
          <w:rFonts w:ascii="Verdana" w:hAnsi="Verdana"/>
          <w:sz w:val="20"/>
          <w:szCs w:val="20"/>
        </w:rPr>
        <w:t xml:space="preserve">-net in Vlaanderen uit 3 lagen zal bestaan. Uit de </w:t>
      </w:r>
      <w:proofErr w:type="spellStart"/>
      <w:r w:rsidRPr="00D90430">
        <w:rPr>
          <w:rFonts w:ascii="Verdana" w:hAnsi="Verdana"/>
          <w:sz w:val="20"/>
          <w:szCs w:val="20"/>
        </w:rPr>
        <w:t>MvT</w:t>
      </w:r>
      <w:proofErr w:type="spellEnd"/>
      <w:r w:rsidRPr="00D90430">
        <w:rPr>
          <w:rFonts w:ascii="Verdana" w:hAnsi="Verdana"/>
          <w:sz w:val="20"/>
          <w:szCs w:val="20"/>
        </w:rPr>
        <w:t xml:space="preserve"> blijkt duidelijk dat ook het treinnet deel uitmaakt van het gelaagd OV-net. Daarbij wordt geponeerd dat </w:t>
      </w:r>
      <w:r w:rsidR="005E2939" w:rsidRPr="00D90430">
        <w:rPr>
          <w:rFonts w:ascii="Verdana" w:hAnsi="Verdana"/>
          <w:sz w:val="20"/>
          <w:szCs w:val="20"/>
        </w:rPr>
        <w:t xml:space="preserve">als een verbinding in het </w:t>
      </w:r>
      <w:proofErr w:type="spellStart"/>
      <w:r w:rsidR="005E2939" w:rsidRPr="00D90430">
        <w:rPr>
          <w:rFonts w:ascii="Verdana" w:hAnsi="Verdana"/>
          <w:sz w:val="20"/>
          <w:szCs w:val="20"/>
        </w:rPr>
        <w:t>kernnet</w:t>
      </w:r>
      <w:proofErr w:type="spellEnd"/>
      <w:r w:rsidR="005E2939" w:rsidRPr="00D90430">
        <w:rPr>
          <w:rFonts w:ascii="Verdana" w:hAnsi="Verdana"/>
          <w:sz w:val="20"/>
          <w:szCs w:val="20"/>
        </w:rPr>
        <w:t xml:space="preserve"> wordt overgenomen door het treinnet, dat zal leiden tot een aanpassing van het </w:t>
      </w:r>
      <w:proofErr w:type="spellStart"/>
      <w:r w:rsidR="005E2939" w:rsidRPr="00D90430">
        <w:rPr>
          <w:rFonts w:ascii="Verdana" w:hAnsi="Verdana"/>
          <w:sz w:val="20"/>
          <w:szCs w:val="20"/>
        </w:rPr>
        <w:t>kernnet</w:t>
      </w:r>
      <w:proofErr w:type="spellEnd"/>
      <w:r w:rsidR="005E2939" w:rsidRPr="00D90430">
        <w:rPr>
          <w:rFonts w:ascii="Verdana" w:hAnsi="Verdana"/>
          <w:sz w:val="20"/>
          <w:szCs w:val="20"/>
        </w:rPr>
        <w:t>. Hier moet toch omzichtig mee omgesprongen worden</w:t>
      </w:r>
      <w:r w:rsidR="00F01893">
        <w:rPr>
          <w:rFonts w:ascii="Verdana" w:hAnsi="Verdana"/>
          <w:sz w:val="20"/>
          <w:szCs w:val="20"/>
        </w:rPr>
        <w:t xml:space="preserve"> en minstens verduidelijkt worden wat wordt bedoeld met “aanpassing aan het </w:t>
      </w:r>
      <w:proofErr w:type="spellStart"/>
      <w:r w:rsidR="00F01893">
        <w:rPr>
          <w:rFonts w:ascii="Verdana" w:hAnsi="Verdana"/>
          <w:sz w:val="20"/>
          <w:szCs w:val="20"/>
        </w:rPr>
        <w:t>kernnet</w:t>
      </w:r>
      <w:proofErr w:type="spellEnd"/>
      <w:r w:rsidR="00F01893">
        <w:rPr>
          <w:rFonts w:ascii="Verdana" w:hAnsi="Verdana"/>
          <w:sz w:val="20"/>
          <w:szCs w:val="20"/>
        </w:rPr>
        <w:t>”</w:t>
      </w:r>
      <w:r w:rsidR="005E2939" w:rsidRPr="00D90430">
        <w:rPr>
          <w:rFonts w:ascii="Verdana" w:hAnsi="Verdana"/>
          <w:sz w:val="20"/>
          <w:szCs w:val="20"/>
        </w:rPr>
        <w:t xml:space="preserve">. Zowel qua halte-afstanden als qua frequentie verschilt een bediening door een treinnet met een bediening door een busnet. Aan het </w:t>
      </w:r>
      <w:proofErr w:type="spellStart"/>
      <w:r w:rsidR="005E2939" w:rsidRPr="00D90430">
        <w:rPr>
          <w:rFonts w:ascii="Verdana" w:hAnsi="Verdana"/>
          <w:sz w:val="20"/>
          <w:szCs w:val="20"/>
        </w:rPr>
        <w:t>kernnet</w:t>
      </w:r>
      <w:proofErr w:type="spellEnd"/>
      <w:r w:rsidR="005E2939" w:rsidRPr="00D90430">
        <w:rPr>
          <w:rFonts w:ascii="Verdana" w:hAnsi="Verdana"/>
          <w:sz w:val="20"/>
          <w:szCs w:val="20"/>
        </w:rPr>
        <w:t xml:space="preserve"> worden ook een aantal minimumkwaliteitseisen verbonden. Als een verbinding in het </w:t>
      </w:r>
      <w:proofErr w:type="spellStart"/>
      <w:r w:rsidR="005E2939" w:rsidRPr="00D90430">
        <w:rPr>
          <w:rFonts w:ascii="Verdana" w:hAnsi="Verdana"/>
          <w:sz w:val="20"/>
          <w:szCs w:val="20"/>
        </w:rPr>
        <w:t>kernnet</w:t>
      </w:r>
      <w:proofErr w:type="spellEnd"/>
      <w:r w:rsidR="005E2939" w:rsidRPr="00D90430">
        <w:rPr>
          <w:rFonts w:ascii="Verdana" w:hAnsi="Verdana"/>
          <w:sz w:val="20"/>
          <w:szCs w:val="20"/>
        </w:rPr>
        <w:t xml:space="preserve"> wordt vervangen door een verbinding in het treinnet, </w:t>
      </w:r>
      <w:r w:rsidR="00F01893">
        <w:rPr>
          <w:rFonts w:ascii="Verdana" w:hAnsi="Verdana"/>
          <w:sz w:val="20"/>
          <w:szCs w:val="20"/>
        </w:rPr>
        <w:t xml:space="preserve">moet die minstens aan dezelfde kwaliteitseisen voldoen als het </w:t>
      </w:r>
      <w:proofErr w:type="spellStart"/>
      <w:r w:rsidR="00F01893">
        <w:rPr>
          <w:rFonts w:ascii="Verdana" w:hAnsi="Verdana"/>
          <w:sz w:val="20"/>
          <w:szCs w:val="20"/>
        </w:rPr>
        <w:t>kernnet</w:t>
      </w:r>
      <w:proofErr w:type="spellEnd"/>
      <w:r w:rsidR="00F01893">
        <w:rPr>
          <w:rFonts w:ascii="Verdana" w:hAnsi="Verdana"/>
          <w:sz w:val="20"/>
          <w:szCs w:val="20"/>
        </w:rPr>
        <w:t>.</w:t>
      </w:r>
      <w:r w:rsidR="005E2939" w:rsidRPr="00D90430">
        <w:rPr>
          <w:rFonts w:ascii="Verdana" w:hAnsi="Verdana"/>
          <w:sz w:val="20"/>
          <w:szCs w:val="20"/>
        </w:rPr>
        <w:t xml:space="preserve"> </w:t>
      </w:r>
    </w:p>
    <w:p w:rsidR="005E2939" w:rsidRPr="00D90430" w:rsidRDefault="005E2939" w:rsidP="006E1F70">
      <w:pPr>
        <w:rPr>
          <w:rFonts w:ascii="Verdana" w:hAnsi="Verdana"/>
          <w:sz w:val="20"/>
          <w:szCs w:val="20"/>
        </w:rPr>
      </w:pPr>
    </w:p>
    <w:p w:rsidR="00610EC1" w:rsidRPr="00D90430" w:rsidRDefault="00610EC1" w:rsidP="006E1F70">
      <w:pPr>
        <w:rPr>
          <w:rFonts w:ascii="Verdana" w:hAnsi="Verdana"/>
          <w:b/>
          <w:sz w:val="20"/>
          <w:szCs w:val="20"/>
        </w:rPr>
      </w:pPr>
      <w:r w:rsidRPr="00D90430">
        <w:rPr>
          <w:rFonts w:ascii="Verdana" w:hAnsi="Verdana"/>
          <w:b/>
          <w:sz w:val="20"/>
          <w:szCs w:val="20"/>
        </w:rPr>
        <w:t>Artikel 36</w:t>
      </w:r>
    </w:p>
    <w:p w:rsidR="00610EC1" w:rsidRPr="00D90430" w:rsidRDefault="00610EC1" w:rsidP="006E1F70">
      <w:pPr>
        <w:rPr>
          <w:rFonts w:ascii="Verdana" w:hAnsi="Verdana"/>
          <w:sz w:val="20"/>
          <w:szCs w:val="20"/>
        </w:rPr>
      </w:pPr>
    </w:p>
    <w:p w:rsidR="007E4290" w:rsidRDefault="00610EC1" w:rsidP="006E1F70">
      <w:pPr>
        <w:rPr>
          <w:rFonts w:ascii="Verdana" w:hAnsi="Verdana"/>
          <w:sz w:val="20"/>
          <w:szCs w:val="20"/>
        </w:rPr>
      </w:pPr>
      <w:r w:rsidRPr="00D90430">
        <w:rPr>
          <w:rFonts w:ascii="Verdana" w:hAnsi="Verdana"/>
          <w:sz w:val="20"/>
          <w:szCs w:val="20"/>
        </w:rPr>
        <w:t>Volgens artikel 36 bepaalt el</w:t>
      </w:r>
      <w:r w:rsidR="009C17AE" w:rsidRPr="00D90430">
        <w:rPr>
          <w:rFonts w:ascii="Verdana" w:hAnsi="Verdana"/>
          <w:sz w:val="20"/>
          <w:szCs w:val="20"/>
        </w:rPr>
        <w:t>ke</w:t>
      </w:r>
      <w:r w:rsidRPr="00D90430">
        <w:rPr>
          <w:rFonts w:ascii="Verdana" w:hAnsi="Verdana"/>
          <w:sz w:val="20"/>
          <w:szCs w:val="20"/>
        </w:rPr>
        <w:t xml:space="preserve"> vervoerregio de tarieven voor het </w:t>
      </w:r>
      <w:proofErr w:type="spellStart"/>
      <w:r w:rsidRPr="00D90430">
        <w:rPr>
          <w:rFonts w:ascii="Verdana" w:hAnsi="Verdana"/>
          <w:sz w:val="20"/>
          <w:szCs w:val="20"/>
        </w:rPr>
        <w:t>VoM</w:t>
      </w:r>
      <w:proofErr w:type="spellEnd"/>
      <w:r w:rsidRPr="00D90430">
        <w:rPr>
          <w:rFonts w:ascii="Verdana" w:hAnsi="Verdana"/>
          <w:sz w:val="20"/>
          <w:szCs w:val="20"/>
        </w:rPr>
        <w:t xml:space="preserve">. </w:t>
      </w:r>
      <w:r w:rsidR="009C17AE" w:rsidRPr="00D90430">
        <w:rPr>
          <w:rFonts w:ascii="Verdana" w:hAnsi="Verdana"/>
          <w:sz w:val="20"/>
          <w:szCs w:val="20"/>
        </w:rPr>
        <w:t xml:space="preserve">Vraag is of hier geen ongelijkheid zal ontstaan tussen inwoners van verschillende vervoerregio’s. </w:t>
      </w:r>
      <w:r w:rsidR="007E4290">
        <w:rPr>
          <w:rFonts w:ascii="Verdana" w:hAnsi="Verdana"/>
          <w:sz w:val="20"/>
          <w:szCs w:val="20"/>
        </w:rPr>
        <w:t xml:space="preserve">De kans is reëel dat in verschillende vervoersgebieden verschillende tarieven voor </w:t>
      </w:r>
      <w:proofErr w:type="spellStart"/>
      <w:r w:rsidR="007E4290">
        <w:rPr>
          <w:rFonts w:ascii="Verdana" w:hAnsi="Verdana"/>
          <w:sz w:val="20"/>
          <w:szCs w:val="20"/>
        </w:rPr>
        <w:t>VoM</w:t>
      </w:r>
      <w:proofErr w:type="spellEnd"/>
      <w:r w:rsidR="007E4290">
        <w:rPr>
          <w:rFonts w:ascii="Verdana" w:hAnsi="Verdana"/>
          <w:sz w:val="20"/>
          <w:szCs w:val="20"/>
        </w:rPr>
        <w:t xml:space="preserve"> zullen ontstaan waarbij de verschillen tussen “rijkere” en “armere” vervoerregio’s nog versterkt dreigen te worden en waarbij vervoersarmoede in de hand wordt gewerkt. </w:t>
      </w:r>
    </w:p>
    <w:p w:rsidR="007E4290" w:rsidRDefault="007E4290" w:rsidP="006E1F70">
      <w:pPr>
        <w:rPr>
          <w:rFonts w:ascii="Verdana" w:hAnsi="Verdana"/>
          <w:sz w:val="20"/>
          <w:szCs w:val="20"/>
        </w:rPr>
      </w:pPr>
    </w:p>
    <w:p w:rsidR="005E2939" w:rsidRPr="00D90430" w:rsidRDefault="00452262" w:rsidP="006E1F70">
      <w:pPr>
        <w:rPr>
          <w:rFonts w:ascii="Verdana" w:hAnsi="Verdana"/>
          <w:sz w:val="20"/>
          <w:szCs w:val="20"/>
        </w:rPr>
      </w:pPr>
      <w:r w:rsidRPr="00D90430">
        <w:rPr>
          <w:rFonts w:ascii="Verdana" w:hAnsi="Verdana"/>
          <w:sz w:val="20"/>
          <w:szCs w:val="20"/>
        </w:rPr>
        <w:lastRenderedPageBreak/>
        <w:t xml:space="preserve">In de </w:t>
      </w:r>
      <w:proofErr w:type="spellStart"/>
      <w:r w:rsidRPr="00D90430">
        <w:rPr>
          <w:rFonts w:ascii="Verdana" w:hAnsi="Verdana"/>
          <w:sz w:val="20"/>
          <w:szCs w:val="20"/>
        </w:rPr>
        <w:t>MvT</w:t>
      </w:r>
      <w:proofErr w:type="spellEnd"/>
      <w:r w:rsidRPr="00D90430">
        <w:rPr>
          <w:rFonts w:ascii="Verdana" w:hAnsi="Verdana"/>
          <w:sz w:val="20"/>
          <w:szCs w:val="20"/>
        </w:rPr>
        <w:t xml:space="preserve"> wordt erkend dat een transparant en voor de reiziger duidelijk ti</w:t>
      </w:r>
      <w:r w:rsidR="007E4290">
        <w:rPr>
          <w:rFonts w:ascii="Verdana" w:hAnsi="Verdana"/>
          <w:sz w:val="20"/>
          <w:szCs w:val="20"/>
        </w:rPr>
        <w:t>ck</w:t>
      </w:r>
      <w:r w:rsidRPr="00D90430">
        <w:rPr>
          <w:rFonts w:ascii="Verdana" w:hAnsi="Verdana"/>
          <w:sz w:val="20"/>
          <w:szCs w:val="20"/>
        </w:rPr>
        <w:t>et- en tari</w:t>
      </w:r>
      <w:r w:rsidR="007E4290">
        <w:rPr>
          <w:rFonts w:ascii="Verdana" w:hAnsi="Verdana"/>
          <w:sz w:val="20"/>
          <w:szCs w:val="20"/>
        </w:rPr>
        <w:t>e</w:t>
      </w:r>
      <w:r w:rsidRPr="00D90430">
        <w:rPr>
          <w:rFonts w:ascii="Verdana" w:hAnsi="Verdana"/>
          <w:sz w:val="20"/>
          <w:szCs w:val="20"/>
        </w:rPr>
        <w:t>fsysteem noodzakelijk is ter re</w:t>
      </w:r>
      <w:r w:rsidR="007E4290">
        <w:rPr>
          <w:rFonts w:ascii="Verdana" w:hAnsi="Verdana"/>
          <w:sz w:val="20"/>
          <w:szCs w:val="20"/>
        </w:rPr>
        <w:t>a</w:t>
      </w:r>
      <w:r w:rsidRPr="00D90430">
        <w:rPr>
          <w:rFonts w:ascii="Verdana" w:hAnsi="Verdana"/>
          <w:sz w:val="20"/>
          <w:szCs w:val="20"/>
        </w:rPr>
        <w:t>lisatie van de basisbereikbaarheid. Alleen is het niet duidelijk of en hoe vermeden zal worden dat een reiziger verschillende tickets zal moeten kopen (tegen verschillende tarieven) als hij een verplaatsing wil maken over Vervoerregio’s heen.</w:t>
      </w:r>
    </w:p>
    <w:p w:rsidR="005E2939" w:rsidRPr="00D90430" w:rsidRDefault="005E2939" w:rsidP="006E1F70">
      <w:pPr>
        <w:rPr>
          <w:rFonts w:ascii="Verdana" w:hAnsi="Verdana"/>
          <w:sz w:val="20"/>
          <w:szCs w:val="20"/>
        </w:rPr>
      </w:pPr>
    </w:p>
    <w:p w:rsidR="005E2939" w:rsidRPr="00D90430" w:rsidRDefault="00DB71DA" w:rsidP="006E1F70">
      <w:pPr>
        <w:rPr>
          <w:rFonts w:ascii="Verdana" w:hAnsi="Verdana"/>
          <w:b/>
          <w:sz w:val="20"/>
          <w:szCs w:val="20"/>
        </w:rPr>
      </w:pPr>
      <w:r w:rsidRPr="00D90430">
        <w:rPr>
          <w:rFonts w:ascii="Verdana" w:hAnsi="Verdana"/>
          <w:b/>
          <w:sz w:val="20"/>
          <w:szCs w:val="20"/>
        </w:rPr>
        <w:t>Artikel 46</w:t>
      </w:r>
    </w:p>
    <w:p w:rsidR="00DB71DA" w:rsidRPr="00D90430" w:rsidRDefault="00DB71DA" w:rsidP="006E1F70">
      <w:pPr>
        <w:rPr>
          <w:rFonts w:ascii="Verdana" w:hAnsi="Verdana"/>
          <w:sz w:val="20"/>
          <w:szCs w:val="20"/>
        </w:rPr>
      </w:pPr>
    </w:p>
    <w:p w:rsidR="00901639" w:rsidRPr="00D90430" w:rsidRDefault="00DB71DA" w:rsidP="006E1F70">
      <w:pPr>
        <w:rPr>
          <w:rFonts w:ascii="Verdana" w:hAnsi="Verdana"/>
          <w:sz w:val="20"/>
          <w:szCs w:val="20"/>
        </w:rPr>
      </w:pPr>
      <w:r w:rsidRPr="00D90430">
        <w:rPr>
          <w:rFonts w:ascii="Verdana" w:hAnsi="Verdana"/>
          <w:sz w:val="20"/>
          <w:szCs w:val="20"/>
        </w:rPr>
        <w:t>Artikel 46 bepaalt dat het parkeerbeleid wordt bepaald door het regionaal mobiliteitsplan. Houdt dit in dat een gemeente zelf geen parkeerbeleid mag bepalen? Wat als een gemeente een stri</w:t>
      </w:r>
      <w:r w:rsidR="00351FDA">
        <w:rPr>
          <w:rFonts w:ascii="Verdana" w:hAnsi="Verdana"/>
          <w:sz w:val="20"/>
          <w:szCs w:val="20"/>
        </w:rPr>
        <w:t>kter</w:t>
      </w:r>
      <w:r w:rsidRPr="00D90430">
        <w:rPr>
          <w:rFonts w:ascii="Verdana" w:hAnsi="Verdana"/>
          <w:sz w:val="20"/>
          <w:szCs w:val="20"/>
        </w:rPr>
        <w:t xml:space="preserve"> parkeerbeleid wil voeren, maar dit in tegenspraak zou zijn met een regionaal mobiliteitsplan waar een </w:t>
      </w:r>
      <w:proofErr w:type="spellStart"/>
      <w:r w:rsidRPr="00D90430">
        <w:rPr>
          <w:rFonts w:ascii="Verdana" w:hAnsi="Verdana"/>
          <w:sz w:val="20"/>
          <w:szCs w:val="20"/>
        </w:rPr>
        <w:t>vraaggestuurd</w:t>
      </w:r>
      <w:proofErr w:type="spellEnd"/>
      <w:r w:rsidRPr="00D90430">
        <w:rPr>
          <w:rFonts w:ascii="Verdana" w:hAnsi="Verdana"/>
          <w:sz w:val="20"/>
          <w:szCs w:val="20"/>
        </w:rPr>
        <w:t xml:space="preserve"> parkeerbeleid wordt gepromoot. Het is niet ondenkbeeldig dat randgemeenten voorstander zijn van een </w:t>
      </w:r>
      <w:proofErr w:type="spellStart"/>
      <w:r w:rsidRPr="00D90430">
        <w:rPr>
          <w:rFonts w:ascii="Verdana" w:hAnsi="Verdana"/>
          <w:sz w:val="20"/>
          <w:szCs w:val="20"/>
        </w:rPr>
        <w:t>vraaggestuurd</w:t>
      </w:r>
      <w:proofErr w:type="spellEnd"/>
      <w:r w:rsidRPr="00D90430">
        <w:rPr>
          <w:rFonts w:ascii="Verdana" w:hAnsi="Verdana"/>
          <w:sz w:val="20"/>
          <w:szCs w:val="20"/>
        </w:rPr>
        <w:t xml:space="preserve"> parkeerbeleid (waarmee hun inwoners vlot met hun wagen naar de centrumstad kunnen reizen) terwijl de centrumstad in kwestie </w:t>
      </w:r>
      <w:proofErr w:type="spellStart"/>
      <w:r w:rsidR="00351FDA">
        <w:rPr>
          <w:rFonts w:ascii="Verdana" w:hAnsi="Verdana"/>
          <w:sz w:val="20"/>
          <w:szCs w:val="20"/>
        </w:rPr>
        <w:t>dmv</w:t>
      </w:r>
      <w:proofErr w:type="spellEnd"/>
      <w:r w:rsidR="00351FDA">
        <w:rPr>
          <w:rFonts w:ascii="Verdana" w:hAnsi="Verdana"/>
          <w:sz w:val="20"/>
          <w:szCs w:val="20"/>
        </w:rPr>
        <w:t xml:space="preserve"> een parkeerbeleid de impact van de auto op de verkeersleefbaarheid wil beheersen</w:t>
      </w:r>
      <w:r w:rsidRPr="00D90430">
        <w:rPr>
          <w:rFonts w:ascii="Verdana" w:hAnsi="Verdana"/>
          <w:sz w:val="20"/>
          <w:szCs w:val="20"/>
        </w:rPr>
        <w:t xml:space="preserve">. En wat wordt bedoeld met parkeerbeleid: omvat </w:t>
      </w:r>
      <w:r w:rsidR="00B8048C">
        <w:rPr>
          <w:rFonts w:ascii="Verdana" w:hAnsi="Verdana"/>
          <w:sz w:val="20"/>
          <w:szCs w:val="20"/>
        </w:rPr>
        <w:t xml:space="preserve">dit </w:t>
      </w:r>
      <w:r w:rsidRPr="00D90430">
        <w:rPr>
          <w:rFonts w:ascii="Verdana" w:hAnsi="Verdana"/>
          <w:sz w:val="20"/>
          <w:szCs w:val="20"/>
        </w:rPr>
        <w:t xml:space="preserve">betalend parkeren of de invoering van blauwe zones, het invoeren van </w:t>
      </w:r>
      <w:proofErr w:type="spellStart"/>
      <w:r w:rsidRPr="00D90430">
        <w:rPr>
          <w:rFonts w:ascii="Verdana" w:hAnsi="Verdana"/>
          <w:sz w:val="20"/>
          <w:szCs w:val="20"/>
        </w:rPr>
        <w:t>bewonersparkeren</w:t>
      </w:r>
      <w:proofErr w:type="spellEnd"/>
      <w:r w:rsidRPr="00D90430">
        <w:rPr>
          <w:rFonts w:ascii="Verdana" w:hAnsi="Verdana"/>
          <w:sz w:val="20"/>
          <w:szCs w:val="20"/>
        </w:rPr>
        <w:t>, de bepaling van parkeernomen in een stedenbouwkundige verordening, …</w:t>
      </w:r>
    </w:p>
    <w:p w:rsidR="00DB71DA" w:rsidRPr="00D90430" w:rsidRDefault="00DB71DA" w:rsidP="006E1F70">
      <w:pPr>
        <w:rPr>
          <w:rFonts w:ascii="Verdana" w:hAnsi="Verdana"/>
          <w:sz w:val="20"/>
          <w:szCs w:val="20"/>
        </w:rPr>
      </w:pPr>
    </w:p>
    <w:sectPr w:rsidR="00DB71DA" w:rsidRPr="00D90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13A6"/>
    <w:multiLevelType w:val="hybridMultilevel"/>
    <w:tmpl w:val="EAFEB0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B24C18"/>
    <w:multiLevelType w:val="hybridMultilevel"/>
    <w:tmpl w:val="060E9F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FD41B7"/>
    <w:multiLevelType w:val="hybridMultilevel"/>
    <w:tmpl w:val="99A6DAEA"/>
    <w:lvl w:ilvl="0" w:tplc="A7C47C60">
      <w:numFmt w:val="bullet"/>
      <w:lvlText w:val="-"/>
      <w:lvlJc w:val="left"/>
      <w:pPr>
        <w:ind w:left="720" w:hanging="360"/>
      </w:pPr>
      <w:rPr>
        <w:rFonts w:ascii="Verdana" w:eastAsia="Times New Roman" w:hAnsi="Verdana"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F9149F"/>
    <w:multiLevelType w:val="hybridMultilevel"/>
    <w:tmpl w:val="F1E20210"/>
    <w:lvl w:ilvl="0" w:tplc="172C648E">
      <w:numFmt w:val="bullet"/>
      <w:lvlText w:val="-"/>
      <w:lvlJc w:val="left"/>
      <w:pPr>
        <w:ind w:left="720" w:hanging="360"/>
      </w:pPr>
      <w:rPr>
        <w:rFonts w:ascii="Verdana" w:eastAsiaTheme="minorHAnsi" w:hAnsi="Verdana"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76E0AB2"/>
    <w:multiLevelType w:val="hybridMultilevel"/>
    <w:tmpl w:val="B15467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D3C4678"/>
    <w:multiLevelType w:val="hybridMultilevel"/>
    <w:tmpl w:val="4842A138"/>
    <w:lvl w:ilvl="0" w:tplc="A7C47C60">
      <w:numFmt w:val="bullet"/>
      <w:lvlText w:val="-"/>
      <w:lvlJc w:val="left"/>
      <w:pPr>
        <w:ind w:left="927" w:hanging="360"/>
      </w:pPr>
      <w:rPr>
        <w:rFonts w:ascii="Verdana" w:eastAsia="Times New Roman" w:hAnsi="Verdana" w:cs="Calibri"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6" w15:restartNumberingAfterBreak="0">
    <w:nsid w:val="27495ACA"/>
    <w:multiLevelType w:val="hybridMultilevel"/>
    <w:tmpl w:val="5DE808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88B6F21"/>
    <w:multiLevelType w:val="hybridMultilevel"/>
    <w:tmpl w:val="497A4B1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9DA252F"/>
    <w:multiLevelType w:val="hybridMultilevel"/>
    <w:tmpl w:val="8AC06A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9C42380"/>
    <w:multiLevelType w:val="hybridMultilevel"/>
    <w:tmpl w:val="45F4EF04"/>
    <w:lvl w:ilvl="0" w:tplc="172C648E">
      <w:numFmt w:val="bullet"/>
      <w:lvlText w:val="-"/>
      <w:lvlJc w:val="left"/>
      <w:pPr>
        <w:ind w:left="720" w:hanging="360"/>
      </w:pPr>
      <w:rPr>
        <w:rFonts w:ascii="Verdana" w:eastAsiaTheme="minorHAnsi" w:hAnsi="Verdana"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CF4250"/>
    <w:multiLevelType w:val="hybridMultilevel"/>
    <w:tmpl w:val="A4BA0174"/>
    <w:lvl w:ilvl="0" w:tplc="08130001">
      <w:start w:val="1"/>
      <w:numFmt w:val="bullet"/>
      <w:lvlText w:val=""/>
      <w:lvlJc w:val="left"/>
      <w:pPr>
        <w:ind w:left="720" w:hanging="360"/>
      </w:pPr>
      <w:rPr>
        <w:rFonts w:ascii="Symbol" w:hAnsi="Symbol" w:hint="default"/>
      </w:rPr>
    </w:lvl>
    <w:lvl w:ilvl="1" w:tplc="1C7AB984">
      <w:numFmt w:val="bullet"/>
      <w:lvlText w:val="•"/>
      <w:lvlJc w:val="left"/>
      <w:pPr>
        <w:ind w:left="1785" w:hanging="705"/>
      </w:pPr>
      <w:rPr>
        <w:rFonts w:ascii="Verdana" w:eastAsiaTheme="minorHAnsi" w:hAnsi="Verdana"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A3A568D"/>
    <w:multiLevelType w:val="hybridMultilevel"/>
    <w:tmpl w:val="3264863E"/>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2" w15:restartNumberingAfterBreak="0">
    <w:nsid w:val="4EDB65E6"/>
    <w:multiLevelType w:val="hybridMultilevel"/>
    <w:tmpl w:val="E96A2F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F7929DE"/>
    <w:multiLevelType w:val="hybridMultilevel"/>
    <w:tmpl w:val="B798B832"/>
    <w:lvl w:ilvl="0" w:tplc="A7C47C60">
      <w:numFmt w:val="bullet"/>
      <w:lvlText w:val="-"/>
      <w:lvlJc w:val="left"/>
      <w:pPr>
        <w:ind w:left="644" w:hanging="360"/>
      </w:pPr>
      <w:rPr>
        <w:rFonts w:ascii="Verdana" w:eastAsia="Times New Roman" w:hAnsi="Verdana" w:cs="Calibr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4" w15:restartNumberingAfterBreak="0">
    <w:nsid w:val="55060869"/>
    <w:multiLevelType w:val="hybridMultilevel"/>
    <w:tmpl w:val="B0BA63D2"/>
    <w:lvl w:ilvl="0" w:tplc="A7C47C60">
      <w:numFmt w:val="bullet"/>
      <w:lvlText w:val="-"/>
      <w:lvlJc w:val="left"/>
      <w:pPr>
        <w:ind w:left="1080" w:hanging="360"/>
      </w:pPr>
      <w:rPr>
        <w:rFonts w:ascii="Verdana" w:eastAsia="Times New Roman" w:hAnsi="Verdana"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5DAE1C7C"/>
    <w:multiLevelType w:val="hybridMultilevel"/>
    <w:tmpl w:val="FCD62EB4"/>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6" w15:restartNumberingAfterBreak="0">
    <w:nsid w:val="5DF95D17"/>
    <w:multiLevelType w:val="hybridMultilevel"/>
    <w:tmpl w:val="239EE35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E372DB0"/>
    <w:multiLevelType w:val="hybridMultilevel"/>
    <w:tmpl w:val="3C26DDAC"/>
    <w:lvl w:ilvl="0" w:tplc="F17EF62A">
      <w:numFmt w:val="bullet"/>
      <w:lvlText w:val="-"/>
      <w:lvlJc w:val="left"/>
      <w:pPr>
        <w:ind w:left="720" w:hanging="360"/>
      </w:pPr>
      <w:rPr>
        <w:rFonts w:ascii="Verdana" w:eastAsia="Calibri" w:hAnsi="Verdana"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60FF5C18"/>
    <w:multiLevelType w:val="hybridMultilevel"/>
    <w:tmpl w:val="AC3ACD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1AF501C"/>
    <w:multiLevelType w:val="hybridMultilevel"/>
    <w:tmpl w:val="21BA55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1C171D3"/>
    <w:multiLevelType w:val="hybridMultilevel"/>
    <w:tmpl w:val="24402C78"/>
    <w:lvl w:ilvl="0" w:tplc="172C648E">
      <w:numFmt w:val="bullet"/>
      <w:lvlText w:val="-"/>
      <w:lvlJc w:val="left"/>
      <w:pPr>
        <w:ind w:left="720" w:hanging="360"/>
      </w:pPr>
      <w:rPr>
        <w:rFonts w:ascii="Verdana" w:eastAsiaTheme="minorHAnsi" w:hAnsi="Verdana"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E75F93"/>
    <w:multiLevelType w:val="hybridMultilevel"/>
    <w:tmpl w:val="9D3A67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5680E3E"/>
    <w:multiLevelType w:val="hybridMultilevel"/>
    <w:tmpl w:val="09E847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C8E3302"/>
    <w:multiLevelType w:val="hybridMultilevel"/>
    <w:tmpl w:val="3976CFA2"/>
    <w:lvl w:ilvl="0" w:tplc="172C648E">
      <w:numFmt w:val="bullet"/>
      <w:lvlText w:val="-"/>
      <w:lvlJc w:val="left"/>
      <w:pPr>
        <w:ind w:left="1428" w:hanging="360"/>
      </w:pPr>
      <w:rPr>
        <w:rFonts w:ascii="Verdana" w:eastAsiaTheme="minorHAnsi" w:hAnsi="Verdana" w:cs="Calibri"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abstractNumId w:val="17"/>
  </w:num>
  <w:num w:numId="2">
    <w:abstractNumId w:val="17"/>
  </w:num>
  <w:num w:numId="3">
    <w:abstractNumId w:val="15"/>
  </w:num>
  <w:num w:numId="4">
    <w:abstractNumId w:val="20"/>
  </w:num>
  <w:num w:numId="5">
    <w:abstractNumId w:val="3"/>
  </w:num>
  <w:num w:numId="6">
    <w:abstractNumId w:val="9"/>
  </w:num>
  <w:num w:numId="7">
    <w:abstractNumId w:val="23"/>
  </w:num>
  <w:num w:numId="8">
    <w:abstractNumId w:val="6"/>
  </w:num>
  <w:num w:numId="9">
    <w:abstractNumId w:val="7"/>
  </w:num>
  <w:num w:numId="10">
    <w:abstractNumId w:val="21"/>
  </w:num>
  <w:num w:numId="11">
    <w:abstractNumId w:val="16"/>
  </w:num>
  <w:num w:numId="12">
    <w:abstractNumId w:val="18"/>
  </w:num>
  <w:num w:numId="13">
    <w:abstractNumId w:val="13"/>
  </w:num>
  <w:num w:numId="14">
    <w:abstractNumId w:val="5"/>
  </w:num>
  <w:num w:numId="15">
    <w:abstractNumId w:val="2"/>
  </w:num>
  <w:num w:numId="16">
    <w:abstractNumId w:val="14"/>
  </w:num>
  <w:num w:numId="17">
    <w:abstractNumId w:val="8"/>
  </w:num>
  <w:num w:numId="18">
    <w:abstractNumId w:val="0"/>
  </w:num>
  <w:num w:numId="19">
    <w:abstractNumId w:val="22"/>
  </w:num>
  <w:num w:numId="20">
    <w:abstractNumId w:val="12"/>
  </w:num>
  <w:num w:numId="21">
    <w:abstractNumId w:val="4"/>
  </w:num>
  <w:num w:numId="22">
    <w:abstractNumId w:val="19"/>
  </w:num>
  <w:num w:numId="23">
    <w:abstractNumId w:val="10"/>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05F"/>
    <w:rsid w:val="0006416D"/>
    <w:rsid w:val="000856EC"/>
    <w:rsid w:val="000E506F"/>
    <w:rsid w:val="00110538"/>
    <w:rsid w:val="00204F32"/>
    <w:rsid w:val="002349E1"/>
    <w:rsid w:val="002401B2"/>
    <w:rsid w:val="00272C92"/>
    <w:rsid w:val="0027568B"/>
    <w:rsid w:val="002915C6"/>
    <w:rsid w:val="002E33B6"/>
    <w:rsid w:val="00310A89"/>
    <w:rsid w:val="00325DDE"/>
    <w:rsid w:val="00351FDA"/>
    <w:rsid w:val="003C09C7"/>
    <w:rsid w:val="003D7217"/>
    <w:rsid w:val="003F6C1F"/>
    <w:rsid w:val="00452262"/>
    <w:rsid w:val="00487BC3"/>
    <w:rsid w:val="004D205F"/>
    <w:rsid w:val="00556CCA"/>
    <w:rsid w:val="005726DA"/>
    <w:rsid w:val="00572DBD"/>
    <w:rsid w:val="005E2939"/>
    <w:rsid w:val="005F3136"/>
    <w:rsid w:val="00610EC1"/>
    <w:rsid w:val="00630CB3"/>
    <w:rsid w:val="00656BC3"/>
    <w:rsid w:val="006A208D"/>
    <w:rsid w:val="006C4B85"/>
    <w:rsid w:val="006D20BC"/>
    <w:rsid w:val="006E1F70"/>
    <w:rsid w:val="006E28A5"/>
    <w:rsid w:val="006E3BD2"/>
    <w:rsid w:val="00731C2F"/>
    <w:rsid w:val="007D31FE"/>
    <w:rsid w:val="007E0F30"/>
    <w:rsid w:val="007E4290"/>
    <w:rsid w:val="008353CC"/>
    <w:rsid w:val="0083552E"/>
    <w:rsid w:val="00852FCA"/>
    <w:rsid w:val="00875F3A"/>
    <w:rsid w:val="008A4C64"/>
    <w:rsid w:val="008D55CF"/>
    <w:rsid w:val="008F2184"/>
    <w:rsid w:val="00901639"/>
    <w:rsid w:val="00901A45"/>
    <w:rsid w:val="009033A3"/>
    <w:rsid w:val="00917399"/>
    <w:rsid w:val="00936EDA"/>
    <w:rsid w:val="00971C27"/>
    <w:rsid w:val="0098767B"/>
    <w:rsid w:val="00994CFE"/>
    <w:rsid w:val="009C17AE"/>
    <w:rsid w:val="009C4CE5"/>
    <w:rsid w:val="009F548D"/>
    <w:rsid w:val="00A521B5"/>
    <w:rsid w:val="00A62BF2"/>
    <w:rsid w:val="00A7732A"/>
    <w:rsid w:val="00A868C1"/>
    <w:rsid w:val="00B434C9"/>
    <w:rsid w:val="00B61E74"/>
    <w:rsid w:val="00B8048C"/>
    <w:rsid w:val="00B97149"/>
    <w:rsid w:val="00C8095D"/>
    <w:rsid w:val="00C93BF0"/>
    <w:rsid w:val="00C9695A"/>
    <w:rsid w:val="00CC7406"/>
    <w:rsid w:val="00CF1D63"/>
    <w:rsid w:val="00D016FE"/>
    <w:rsid w:val="00D2003A"/>
    <w:rsid w:val="00D90430"/>
    <w:rsid w:val="00DB71DA"/>
    <w:rsid w:val="00DC0490"/>
    <w:rsid w:val="00DC380C"/>
    <w:rsid w:val="00DC5F82"/>
    <w:rsid w:val="00DC6342"/>
    <w:rsid w:val="00E948BA"/>
    <w:rsid w:val="00EB5E38"/>
    <w:rsid w:val="00ED36B4"/>
    <w:rsid w:val="00ED6CAE"/>
    <w:rsid w:val="00F01893"/>
    <w:rsid w:val="00F30871"/>
    <w:rsid w:val="00F3427B"/>
    <w:rsid w:val="00F45F59"/>
    <w:rsid w:val="00F6103C"/>
    <w:rsid w:val="00FD7E59"/>
    <w:rsid w:val="00FE5A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C17FA-0854-44E5-B0FD-B42796C9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D205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D205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803">
      <w:bodyDiv w:val="1"/>
      <w:marLeft w:val="0"/>
      <w:marRight w:val="0"/>
      <w:marTop w:val="0"/>
      <w:marBottom w:val="0"/>
      <w:divBdr>
        <w:top w:val="none" w:sz="0" w:space="0" w:color="auto"/>
        <w:left w:val="none" w:sz="0" w:space="0" w:color="auto"/>
        <w:bottom w:val="none" w:sz="0" w:space="0" w:color="auto"/>
        <w:right w:val="none" w:sz="0" w:space="0" w:color="auto"/>
      </w:divBdr>
    </w:div>
    <w:div w:id="102821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F089-32AD-4DB0-8D2B-245CB188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3635</Words>
  <Characters>19995</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23583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BAETEN Bart</dc:creator>
  <cp:keywords/>
  <dc:description/>
  <cp:lastModifiedBy>Alban Pols</cp:lastModifiedBy>
  <cp:revision>2</cp:revision>
  <dcterms:created xsi:type="dcterms:W3CDTF">2019-01-16T08:03:00Z</dcterms:created>
  <dcterms:modified xsi:type="dcterms:W3CDTF">2019-01-16T08:03:00Z</dcterms:modified>
</cp:coreProperties>
</file>